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FDS BOUGIE A 10% - Amour de bébé</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permet d’obtenir les coordonnées de tous les centres Anti-poison Français.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COUMARINE(91-64-5), ETHYL LINALOL(10339-55-6), METHYLIONONE GAMMA(127-51-5).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ETHYLENE BRASSYLATE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105-95-3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203-347-8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01-2119976314-33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CYCLOHEXYLE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25485-88-5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400-410-3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ETHYL 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10339-55-6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233-732-6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01-2119969272-32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COUMARINE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91-64-5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202-086-7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01-2119943756-26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Acute Tox. 3 (par voie orale), H301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METHYLIONONE GAMMA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127-51-5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204-846-3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01-2119471851-35-0000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AMYLE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2050-08-0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218-080-2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01-2119969444-27-XXXX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 H317</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2268"/>
        <w:gridCol w:w="4253"/>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Limites de concentration spécifiques</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Nom</w:t>
            </w:r>
          </w:p>
        </w:tc>
        <w:tc>
          <w:tcPr>
            <w:tcW w:w="226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Identificateur de produit</w:t>
            </w:r>
          </w:p>
        </w:tc>
        <w:tc>
          <w:tcPr>
            <w:tcW w:w="425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Limites de concentration spécifiques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01-2120223682-61-0010</w:t>
            </w:r>
          </w:p>
        </w:tc>
        <w:tc>
          <w:tcPr>
            <w:tcW w:w="425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( 0,01 ≤C ≤ 100) Skin Sens. 1A,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Agents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des voies respiratoires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voies respiratoires</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 de l'exposition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 Doux.</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150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determiné.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 (91-64-5)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 LINALOL (10339-55-6)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5000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1500 mg/kg de poids corporel</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1912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AMYLE (2050-08-0)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2000 mg/kg de poids corporel</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CYCLOHEXYLE (25485-88-5)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3185 mg/kg de poids corporel</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FDS BOUGIE A 10% - Amour de bébé</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 LINALOL10339-55-6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AMYLE2050-08-0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CYCLOHEXYLE25485-88-5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FDS BOUGIE A 10% - Amour de bébé</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 LINALOL10339-55-6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AMYLE2050-08-0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CYCLOHEXYLE25485-88-5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déchets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(COUMARINE),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(COUMARINE),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(COUMARINE),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(COUMARINE),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(COUMARINE),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 xml:space="preserve">A97, A158, A197, </w:t>
            </w:r>
            <w:r>
              <w:rPr>
                <w:rFonts w:ascii="Cambria" w:eastAsia="Times New Roman" w:hAnsi="Cambria" w:cs="Arial"/>
                <w:noProof/>
                <w:color w:val="FF0000"/>
                <w:kern w:val="0"/>
                <w:sz w:val="16"/>
                <w:lang w:val="en-GB" w:bidi="ar-SA"/>
              </w:rPr>
              <w:t>&lt;Traduction manquante : A215 /&gt;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Ne contient aucune substance listée dans la liste des substances appauvrissant la couche d’ozone (Règlement (CE) n° 1005/2009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COUMARINE(91-64-5), ETHYL LINALOL(10339-55-6), METHYLIONONE GAMMA(127-51-5). Peut produire une réaction allergique.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0"/>
      <w:footerReference w:type="default" r:id="rId11"/>
      <w:headerReference w:type="first" r:id="rId12"/>
      <w:footerReference w:type="first" r:id="rId13"/>
      <w:type w:val="nextPage"/>
      <w:pgSz w:w="11906" w:h="16838"/>
      <w:pgMar w:top="766" w:right="720" w:bottom="766" w:left="720" w:header="709" w:footer="709" w:gutter="0"/>
      <w:pgNumType w:fmt="decimal"/>
      <w:cols w:space="708"/>
      <w:formProt w:val="0"/>
      <w:titlePg/>
      <w:textDirection w:val="lrT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30/03/2023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t>12</w:t>
          </w:r>
          <w:r>
            <w:fldChar w:fldCharType="end"/>
          </w:r>
          <w:r>
            <w:t>/</w:t>
          </w:r>
          <w:r>
            <w:fldChar w:fldCharType="begin"/>
          </w:r>
          <w:r>
            <w:instrText xml:space="preserve"> NUMPAGES </w:instrText>
          </w:r>
          <w:r>
            <w:fldChar w:fldCharType="separate"/>
          </w:r>
          <w:r>
            <w:t>12</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30/03/2023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12</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FDS BOUGIE A 10% - Amour de bébé</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1" name=""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FDS BOUGIE A 10% - Amour de bébé</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30/03/2023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