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Attrape-rêve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 HELIOTROPINE; PENTALIDE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PENTALIDE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106-02-5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203-354-6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01-2119987323-31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HELIOTROPINE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01-2119983608-21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Musquée.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HELIOTROPINE (120-57-0)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Attrape-rêve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Attrape-rêve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7"/>
        <w:gridCol w:w="1276"/>
        <w:gridCol w:w="1276"/>
        <w:gridCol w:w="1418"/>
        <w:gridCol w:w="1417"/>
        <w:gridCol w:w="1418"/>
        <w:gridCol w:w="1418"/>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226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Code CN</w:t>
            </w:r>
          </w:p>
        </w:tc>
        <w:tc>
          <w:tcPr>
            <w:tcW w:w="141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Annexe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226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Piperonal</w:t>
            </w: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2932 93 00</w:t>
            </w:r>
          </w:p>
        </w:tc>
        <w:tc>
          <w:tcPr>
            <w:tcW w:w="141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Annexe I</w:t>
            </w:r>
          </w:p>
        </w:tc>
      </w:tr>
    </w:tbl>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Attrape-rêve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Attrape-rêve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