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A 10% - Chamallow de Noël</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vertAnchor="text" w:horzAnchor="text" w:leftFromText="141" w:rightFromText="141" w:tblpX="0" w:tblpY="1"/>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Style8"/>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Style8"/>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c>
          <w:tcPr>
            <w:tcW w:w="1134"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H317 </w:t>
            </w:r>
          </w:p>
        </w:tc>
        <w:tc>
          <w:tcPr>
            <w:tcW w:w="3970" w:type="dxa"/>
            <w:tcBorders/>
            <w:shd w:color="auto" w:fill="auto" w:val="clear"/>
          </w:tcPr>
          <w:p>
            <w:pPr>
              <w:pStyle w:val="Normal"/>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6"/>
        <w:gridCol w:w="1076"/>
        <w:gridCol w:w="1077"/>
        <w:gridCol w:w="1079"/>
        <w:gridCol w:w="1131"/>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Pictogrammes de danger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1077"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drawing>
                <wp:inline distT="0" distB="0" distL="0" distR="0">
                  <wp:extent cx="635000" cy="635000"/>
                  <wp:effectExtent l="0" t="0" r="0" b="0"/>
                  <wp:docPr id="1" name="Image1"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GHS07"/>
                          <pic:cNvPicPr>
                            <a:picLocks noChangeAspect="1" noChangeArrowheads="1"/>
                          </pic:cNvPicPr>
                        </pic:nvPicPr>
                        <pic:blipFill>
                          <a:blip r:embed="rId4"/>
                          <a:stretch>
                            <a:fillRect/>
                          </a:stretch>
                        </pic:blipFill>
                        <pic:spPr bwMode="auto">
                          <a:xfrm>
                            <a:off x="0" y="0"/>
                            <a:ext cx="635000" cy="635000"/>
                          </a:xfrm>
                          <a:prstGeom prst="rect">
                            <a:avLst/>
                          </a:prstGeom>
                          <a:noFill/>
                        </pic:spPr>
                      </pic:pic>
                    </a:graphicData>
                  </a:graphic>
                </wp:inline>
              </w:drawing>
            </w:r>
          </w:p>
        </w:tc>
        <w:tc>
          <w:tcPr>
            <w:tcW w:w="1076"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GHS07</w:t>
            </w:r>
          </w:p>
        </w:tc>
        <w:tc>
          <w:tcPr>
            <w:tcW w:w="1076"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Attention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LINALOL; ACETATE LINALYLE; ACETATE GERANYLE; CINNAMATE METHYLE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H317 - Peut provoquer une allergie cutanée.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LINALYLE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115-95-7</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204-116-4</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01-2119454789-19-0001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3,85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CINNAMATE METHYLE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103-26-4</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203-093-8</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01-2119979458-16-0000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2,15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LINALOL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78-70-6</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201-134-4</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603-235-00-2</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1,10584805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RHODIAROME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121-32-4</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204-464-7</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01-2119958961-24</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GERANYLE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105-87-3</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203-341-5</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01-2119973480-35</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0,7</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br/>
              <w:t>Skin Irrit. 2, H315</w:t>
              <w:b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LIMONENE DROIT (+100)</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5989-27-5</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227-813-5</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601-096-00-2</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01-2119529223-47-0007</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0,370305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3, H226</w:t>
              <w:br/>
              <w:t>Skin Irrit. 2, H315</w:t>
              <w:br/>
              <w:t>Skin Sens. 1B, H317</w:t>
              <w:br/>
              <w:t>Asp. Tox. 1, H304</w:t>
              <w:br/>
              <w:t>Aquatic Acute 1, H400</w:t>
              <w:b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ANISIQUE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123-11-5</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204-602-6</w:t>
            </w:r>
          </w:p>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01-2119977101-43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0,21</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 H412</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 après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non appropriés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Mesures d’hygiène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drawing>
                <wp:inline distT="0" distB="0" distL="0" distR="0">
                  <wp:extent cx="635000" cy="635000"/>
                  <wp:effectExtent l="0" t="0" r="0" b="0"/>
                  <wp:docPr id="2" name="Image2"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unettes anti-éclaboussures ou lunettes de sécurité"/>
                          <pic:cNvPicPr>
                            <a:picLocks noChangeAspect="1" noChangeArrowheads="1"/>
                          </pic:cNvPicPr>
                        </pic:nvPicPr>
                        <pic:blipFill>
                          <a:blip r:embed="rId5"/>
                          <a:stretch>
                            <a:fillRect/>
                          </a:stretch>
                        </pic:blipFill>
                        <pic:spPr bwMode="auto">
                          <a:xfrm>
                            <a:off x="0" y="0"/>
                            <a:ext cx="635000" cy="635000"/>
                          </a:xfrm>
                          <a:prstGeom prst="rect">
                            <a:avLst/>
                          </a:prstGeom>
                          <a:noFill/>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ivoire.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200 °C</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 (78-70-6)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2790 mg/kg</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CINNAMATE METHYLE (103-26-4)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2610 mg/kg</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RHODIAROME (121-32-4)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3000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 (123-11-5)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3210 mg/kg</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 (5989-27-5)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eastAsia="ja-JP" w:bidi="ar-SA"/>
              </w:rPr>
              <w:t>1,3 mm²/s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Chamallow de Noël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LINALYLE115-95-7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GERANYLE105-87-3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Chamallow de Noël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LINALYLE115-95-7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GERANYLE105-87-3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ANISIQUE123-11-5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sur les déchets écologiques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rPr>
          <w:trHeight w:val="20" w:hRule="atLeast"/>
        </w:trPr>
        <w:tc>
          <w:tcPr>
            <w:tcW w:w="10491" w:type="dxa"/>
            <w:tcBorders/>
            <w:shd w:color="auto" w:fill="auto" w:val="clear"/>
          </w:tcPr>
          <w:p>
            <w:pPr>
              <w:pStyle w:val="SDSTextHeading4"/>
              <w:widowControl/>
              <w:suppressAutoHyphens w:val="true"/>
              <w:spacing w:before="120" w:after="60"/>
              <w:jc w:val="left"/>
              <w:rPr>
                <w:rFonts w:ascii="Cambria" w:hAnsi="Cambria" w:eastAsia="Times New Roman" w:cs="Arial"/>
                <w:kern w:val="0"/>
                <w:sz w:val="16"/>
                <w:szCs w:val="16"/>
                <w:lang w:val="en-GB" w:bidi="ar-SA"/>
              </w:rPr>
            </w:pPr>
            <w:r>
              <w:rPr>
                <w:rFonts w:eastAsia="Times New Roman" w:cs="Arial" w:ascii="Cambria" w:hAnsi="Cambria"/>
                <w:kern w:val="0"/>
                <w:sz w:val="16"/>
                <w:szCs w:val="16"/>
                <w:lang w:val="en-GB" w:bidi="ar-SA"/>
              </w:rPr>
              <w:t>Allemagne</w:t>
            </w:r>
          </w:p>
        </w:tc>
      </w:tr>
      <w:tr>
        <w:trPr>
          <w:trHeight w:val="20" w:hRule="atLeast"/>
        </w:trPr>
        <w:tc>
          <w:tcPr>
            <w:tcW w:w="10491" w:type="dxa"/>
            <w:tcBorders/>
            <w:shd w:color="auto" w:fill="auto" w:val="clear"/>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0"/>
              <w:gridCol w:w="852"/>
              <w:gridCol w:w="1982"/>
              <w:gridCol w:w="3685"/>
              <w:gridCol w:w="1418"/>
              <w:gridCol w:w="1409"/>
            </w:tblGrid>
            <w:tr>
              <w:trPr/>
              <w:tc>
                <w:tcPr>
                  <w:tcW w:w="10486" w:type="dxa"/>
                  <w:gridSpan w:val="6"/>
                  <w:tcBorders>
                    <w:top w:val="single" w:sz="4" w:space="0" w:color="CACACA"/>
                    <w:left w:val="single" w:sz="4" w:space="0" w:color="CACACA"/>
                    <w:bottom w:val="single" w:sz="4" w:space="0" w:color="CACACA"/>
                    <w:right w:val="single" w:sz="4" w:space="0" w:color="CACACA"/>
                  </w:tcBorders>
                  <w:shd w:color="auto" w:fill="CACACA" w:val="clear"/>
                </w:tcPr>
                <w:p>
                  <w:pPr>
                    <w:pStyle w:val="SDSTableTextBold"/>
                    <w:widowControl/>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Contrôle de la qualité de l’air (TA Luft)</w:t>
                  </w:r>
                </w:p>
              </w:tc>
            </w:tr>
            <w:tr>
              <w:trPr/>
              <w:tc>
                <w:tcPr>
                  <w:tcW w:w="114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Concentration massique maximale</w:t>
                  </w:r>
                </w:p>
              </w:tc>
            </w:tr>
          </w:tbl>
          <w:p>
            <w:pPr>
              <w:pStyle w:val="Normal"/>
              <w:rPr/>
            </w:pPr>
            <w:r>
              <w:rPr/>
            </w:r>
          </w:p>
        </w:tc>
      </w:tr>
    </w:tbl>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Asp. Tox.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Liquides inflammables,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Repr.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H226</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 et vapeurs inflammables.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H304</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être mortel en cas d’ingestion et de pénétration dans les voies respiratoires.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H361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Susceptible de nuire à la fertilité ou au fœtus.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20/06/2025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10</w:t>
          </w:r>
          <w:r>
            <w:rPr/>
            <w:fldChar w:fldCharType="end"/>
          </w:r>
          <w:r>
            <w:rPr/>
            <w:t>/</w:t>
          </w:r>
          <w:r>
            <w:rPr/>
            <w:fldChar w:fldCharType="begin"/>
          </w:r>
          <w:r>
            <w:rPr/>
            <w:instrText xml:space="preserve"> NUMPAGES </w:instrText>
          </w:r>
          <w:r>
            <w:rPr/>
            <w:fldChar w:fldCharType="separate"/>
          </w:r>
          <w:r>
            <w:rPr/>
            <w:t>10</w:t>
          </w:r>
          <w:r>
            <w:rPr/>
            <w:fldChar w:fldCharType="end"/>
          </w:r>
        </w:p>
      </w:tc>
    </w:tr>
  </w:tbl>
  <w:p>
    <w:pPr>
      <w:pStyle w:val="SDSTextBlankLin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20/06/2025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xml:space="preserve"> PAGE </w:instrText>
          </w:r>
          <w:r>
            <w:rPr/>
            <w:fldChar w:fldCharType="separate"/>
          </w:r>
          <w:r>
            <w:rPr/>
            <w:t>1</w:t>
          </w:r>
          <w:r>
            <w:rPr/>
            <w:fldChar w:fldCharType="end"/>
          </w:r>
          <w:r>
            <w:rPr/>
            <w:t>/</w:t>
          </w:r>
          <w:r>
            <w:rPr/>
            <w:fldChar w:fldCharType="begin"/>
          </w:r>
          <w:r>
            <w:rPr/>
            <w:instrText xml:space="preserve">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sz w:val="32"/>
              <w:szCs w:val="32"/>
            </w:rPr>
          </w:pPr>
          <w:r>
            <w:rPr>
              <w:b/>
              <w:sz w:val="32"/>
              <w:szCs w:val="32"/>
            </w:rPr>
            <w:t>FDS BOUGIE A 10% - Chamallow de Noël</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0" distR="0">
                <wp:extent cx="773430" cy="647700"/>
                <wp:effectExtent l="0" t="0" r="0" b="0"/>
                <wp:docPr id="3" name="Image3"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Logo pour "/>
                        <pic:cNvPicPr>
                          <a:picLocks noChangeAspect="1" noChangeArrowheads="1"/>
                        </pic:cNvPicPr>
                      </pic:nvPicPr>
                      <pic:blipFill>
                        <a:blip r:embed="rId1"/>
                        <a:stretch>
                          <a:fillRect/>
                        </a:stretch>
                      </pic:blipFill>
                      <pic:spPr bwMode="auto">
                        <a:xfrm>
                          <a:off x="0" y="0"/>
                          <a:ext cx="773430" cy="647700"/>
                        </a:xfrm>
                        <a:prstGeom prst="rect">
                          <a:avLst/>
                        </a:prstGeom>
                        <a:noFill/>
                      </pic:spPr>
                    </pic:pic>
                  </a:graphicData>
                </a:graphic>
              </wp:inline>
            </w:drawing>
          </w:r>
        </w:p>
      </w:tc>
      <w:tc>
        <w:tcPr>
          <w:tcW w:w="7540" w:type="dxa"/>
          <w:gridSpan w:val="2"/>
          <w:tcBorders/>
        </w:tcPr>
        <w:p>
          <w:pPr>
            <w:pStyle w:val="SDSTableTextHeader"/>
            <w:widowControl w:val="false"/>
            <w:rPr>
              <w:rFonts w:ascii="Cambria" w:hAnsi="Cambria"/>
              <w:b/>
              <w:sz w:val="32"/>
              <w:szCs w:val="32"/>
            </w:rPr>
          </w:pPr>
          <w:r>
            <w:rPr>
              <w:b/>
              <w:sz w:val="32"/>
              <w:szCs w:val="32"/>
            </w:rPr>
            <w:t>FDS BOUGIE A 10% - Chamallow de Noël</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20/06/2025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uiPriority w:val="99"/>
    <w:semiHidden/>
    <w:qFormat/>
    <w:rsid w:val="004748cd"/>
    <w:rPr>
      <w:rFonts w:ascii="Cambria" w:hAnsi="Cambria"/>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CenteredChar" w:customStyle="1">
    <w:name w:val="SDS_TableText_Centered Char"/>
    <w:link w:val="SDSTableTextCentered"/>
    <w:uiPriority w:val="16"/>
    <w:qFormat/>
    <w:rsid w:val="00aa1f17"/>
    <w:rPr>
      <w:rFonts w:ascii="Arial" w:hAnsi="Arial" w:cs="Arial"/>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uiPriority w:val="99"/>
    <w:semiHidden/>
    <w:qFormat/>
    <w:rsid w:val="00d7333c"/>
    <w:rPr>
      <w:rFonts w:ascii="Arial" w:hAnsi="Arial" w:cs="Arial"/>
      <w:sz w:val="16"/>
      <w:szCs w:val="16"/>
      <w:lang w:eastAsia="nl-NL"/>
    </w:rPr>
  </w:style>
  <w:style w:type="character" w:styleId="FooterChar" w:customStyle="1">
    <w:name w:val="Footer Char"/>
    <w:basedOn w:val="DefaultParagraphFont"/>
    <w:uiPriority w:val="99"/>
    <w:semiHidden/>
    <w:qFormat/>
    <w:rsid w:val="00d7333c"/>
    <w:rPr>
      <w:rFonts w:ascii="Arial" w:hAnsi="Arial" w:cs="Arial"/>
      <w:sz w:val="16"/>
      <w:szCs w:val="16"/>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Hyperlink">
    <w:name w:val="Hyperlink"/>
    <w:rPr>
      <w:color w:val="000080"/>
      <w:u w:val="single"/>
    </w:rPr>
  </w:style>
  <w:style w:type="character" w:styleId="FollowedHyperlink">
    <w:name w:val="FollowedHyperlink"/>
    <w:rPr>
      <w:color w:val="80000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semiHidden/>
    <w:rsid w:val="005e78c9"/>
    <w:pPr>
      <w:tabs>
        <w:tab w:val="clear" w:pos="709"/>
        <w:tab w:val="left" w:pos="3720" w:leader="dot"/>
        <w:tab w:val="left" w:pos="3969" w:leader="none"/>
      </w:tabs>
      <w:spacing w:lineRule="auto" w:line="240" w:before="0" w:after="60"/>
      <w:ind w:hanging="3969" w:left="3969"/>
    </w:pPr>
    <w:rPr>
      <w:rFonts w:eastAsia="MS Mincho" w:cs="Times New Roman"/>
      <w:sz w:val="20"/>
      <w:szCs w:val="24"/>
      <w:lang w:val="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Centered" w:customStyle="1">
    <w:name w:val="SDS_TableText_Centered"/>
    <w:basedOn w:val="SDSTableTextNormal"/>
    <w:link w:val="SDSTableTextCenteredChar"/>
    <w:uiPriority w:val="16"/>
    <w:qFormat/>
    <w:rsid w:val="00eb44fc"/>
    <w:pPr>
      <w:jc w:val="center"/>
    </w:pPr>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hanging="284" w:left="312"/>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hanging="284" w:left="312"/>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hanging="284" w:left="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hanging="284" w:left="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Header">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Footer">
    <w:name w:val="footer"/>
    <w:basedOn w:val="Normal"/>
    <w:link w:val="FooterChar"/>
    <w:uiPriority w:val="99"/>
    <w:semiHidden/>
    <w:rsid w:val="00d7333c"/>
    <w:pPr>
      <w:tabs>
        <w:tab w:val="clear" w:pos="709"/>
        <w:tab w:val="center" w:pos="4513" w:leader="none"/>
        <w:tab w:val="right" w:pos="9026" w:leader="none"/>
      </w:tabs>
    </w:pPr>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LibreOffice/25.2.4.3$Windows_X86_64 LibreOffice_project/33e196637044ead23f5c3226cde09b47731f7e27</Application>
  <AppVersion>15.0000</AppVersion>
  <Pages>10</Pages>
  <Words>3128</Words>
  <Characters>19127</Characters>
  <CharactersWithSpaces>21586</CharactersWithSpaces>
  <Paragraphs>678</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2025-06-20T16:34:23Z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