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Fleur de coton</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CARYOPHYLENYLE; ACETATE CEDRYLE; COUMARINE; CITRONELLOL; HELIOTROPINE; HYDROXYCITRONELLAL; LINALOL; METHYLIONONE GAMMA; NEROL; GERANIOL; PENTALIDE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BACDANOL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28219-61-6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248-908-8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01-2119529224-45-0000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2, H411</w:t>
              <w:br/>
              <w:t>Skin Irrit. 2, H315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PHENYLETHYLIQUE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60-12-8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200-456-2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01-2119963921-31-0009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77-54-3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201-036-1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CARYOPHYLENYLE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57082-24-3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260-555-1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1, H410</w:t>
              <w:br/>
              <w:t>Aquatic Acute 1, H400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PENTALIDE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106-02-5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203-354-6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01-2119987323-31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01-2119983244-33-0000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HELIOTROPINE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120-57-0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01-2119983608-21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 (60-12-8)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1610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HELIOTROPINE (120-57-0)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 (106-25-2)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Fleur de coton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BACDANOL28219-61-6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PENTALIDE106-02-5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Fleur de coton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BACDANOL28219-61-6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PENTALIDE106-02-5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(COUMARINE),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(COUMARINE),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(COUMARINE),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(COUMARINE),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(COUMARINE),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7"/>
        <w:gridCol w:w="1276"/>
        <w:gridCol w:w="1276"/>
        <w:gridCol w:w="1418"/>
        <w:gridCol w:w="1417"/>
        <w:gridCol w:w="1418"/>
        <w:gridCol w:w="1418"/>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226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Code CN</w:t>
            </w:r>
          </w:p>
        </w:tc>
        <w:tc>
          <w:tcPr>
            <w:tcW w:w="141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Annexe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226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Piperonal</w:t>
            </w: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2932 93 00</w:t>
            </w:r>
          </w:p>
        </w:tc>
        <w:tc>
          <w:tcPr>
            <w:tcW w:w="141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Annexe I</w:t>
            </w:r>
          </w:p>
        </w:tc>
      </w:tr>
    </w:tbl>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14</w:t>
          </w:r>
          <w:r>
            <w:fldChar w:fldCharType="end"/>
          </w:r>
          <w:r>
            <w:t>/</w:t>
          </w:r>
          <w:r>
            <w:fldChar w:fldCharType="begin"/>
          </w:r>
          <w:r>
            <w:instrText xml:space="preserve"> NUMPAGES </w:instrText>
          </w:r>
          <w:r>
            <w:fldChar w:fldCharType="separate"/>
          </w:r>
          <w:r>
            <w:t>14</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14</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Fleur de coton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Fleur de coton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