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Fraise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CINNAMATE METHYLE(103-26-4).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140-11-4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205-399-7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01-2119638272-42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CINNAMATE METHYLE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103-26-4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203-093-8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01-2119979458-16-0000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 (140-11-4)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CINNAMATE METHYLE (103-26-4)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2610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Fraise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Fraise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CINNAMATE METHYLE(103-26-4).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Fraise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Fraise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