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Noël d’enfance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 ALCOOL CINNAMIQUE; ALDEHYDE ALPHA METHYL CINNAMIQUE; ALDEHYDE CINNAMIQUE; LINALOL; COUMARINE; NERAL CRU; LIMONENE DROIT (+100)</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ALPHA METHYL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101-39-3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202-938-8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1,42425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203-212-3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01-2119934496-29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4 (par voie orale), H302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0,208252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Hespéridée. Balsamique.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 (104-54-1)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ALPHA METHYL CINNAMIQUE (101-39-3)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Noël d’enfance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Noël d’enfance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CINNAMIQUE104-54-1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Noël d’enfance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Noël d’enfance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