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commercial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Smelly</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d’usage principal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Utilisation par les consommateurs</w:t>
            </w:r>
          </w:p>
        </w:tc>
      </w:tr>
    </w:tbl>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r>
              <w:rPr>
                <w:rFonts w:ascii="Cambria" w:eastAsia="Times New Roman" w:hAnsi="Cambria" w:cs="Arial"/>
                <w:kern w:val="0"/>
                <w:sz w:val="16"/>
                <w:lang w:val="en-GB" w:bidi="ar-SA"/>
              </w:rPr>
              <w:t xml:space="preserve"> </w:t>
            </w:r>
          </w:p>
        </w:tc>
        <w:tc>
          <w:tcPr>
            <w:tcW w:w="3969" w:type="dxa"/>
            <w:shd w:val="clear" w:color="auto" w:fill="auto"/>
          </w:tcPr>
          <w:p/>
        </w:tc>
      </w:tr>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6"/>
        <w:gridCol w:w="285"/>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1"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GHS07</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Attention</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 ACETATE GERANYLE; GERANIOL</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H317 - Peut provoquer une allergie cutanée.</w:t>
              <w:b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P273 - Éviter le rejet dans l’environnement.</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 et/ou 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incluse(s) dans la liste établie conformément à l’article 59, par. 1, du règlement REACH, pour avoir des propriétés perturbant le système endocrinien, ou la ou les substances n’est/ne sont pas identifiée(s) comme ayant des propriétés perturbant le système endocrinien conformément aux critères établis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78-70-6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603-235-00-2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01-2119474016-42-0000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1,017115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CYCLACET</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2500-83-6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219-700-4</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0,76</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 H410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GERANIOL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106-24-1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203-377-1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603-241-00-5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01-2119552430-49-0000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0,372995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Eye Dam. 1, H318</w:t>
              <w:br/>
              <w:t>Skin Sens. 1,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GERANYLE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105-87-3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203-341-5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01-2119973480-35</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0,29</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br/>
              <w:t>Skin Irrit. 2, H315</w:t>
              <w:br/>
              <w:t>Aquatic Chronic 3, H412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LIMONENE DROIT (+100)</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5989-27-5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227-813-5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601-096-00-2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01-2119529223-47-0007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0,19</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 H226</w:t>
              <w:br/>
              <w:t>Skin Irrit. 2, H315</w:t>
              <w:br/>
              <w:t>Skin Sens. 1B, H317</w:t>
              <w:br/>
              <w:t>Asp. Tox. 1, H304</w:t>
              <w:br/>
              <w:t>Aquatic Acute 1, H400</w:t>
              <w:br/>
              <w:t>Aquatic Chronic 3, H412</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Mesures d’hygiène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respiratoire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ivoire.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caractéristique.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200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 (78-70-6)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2790 mg/kg</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GERANIOL (106-24-1)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3600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CYCLACET (2500-83-6)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2750 mg/kg</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020"/>
      </w:tblPr>
      <w:tblGrid>
        <w:gridCol w:w="3969"/>
        <w:gridCol w:w="6520"/>
      </w:tblGrid>
      <w:tr>
        <w:tblPrEx>
          <w:tblW w:w="10489" w:type="dxa"/>
          <w:jc w:val="left"/>
          <w:tblInd w:w="0" w:type="dxa"/>
          <w:tblLayout w:type="fixed"/>
          <w:tblCellMar>
            <w:top w:w="57" w:type="dxa"/>
            <w:left w:w="57" w:type="dxa"/>
            <w:bottom w:w="57" w:type="dxa"/>
            <w:right w:w="57" w:type="dxa"/>
          </w:tblCellMar>
          <w:tblLook w:val="002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 (5989-27-5)</w:t>
            </w:r>
          </w:p>
        </w:tc>
      </w:tr>
      <w:tr>
        <w:tblPrEx>
          <w:tblW w:w="10489" w:type="dxa"/>
          <w:jc w:val="left"/>
          <w:tblInd w:w="0" w:type="dxa"/>
          <w:tblLayout w:type="fixed"/>
          <w:tblCellMar>
            <w:top w:w="57" w:type="dxa"/>
            <w:left w:w="57" w:type="dxa"/>
            <w:bottom w:w="57" w:type="dxa"/>
            <w:right w:w="57" w:type="dxa"/>
          </w:tblCellMar>
          <w:tblLook w:val="002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Viscosité, cinématique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1,3 mm²/s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Smelly</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GERANYLE105-87-3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Smelly</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Pow)</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GERANYLE105-87-3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Informations sur les déchets écologiques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2024/590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10491"/>
      </w:tblGrid>
      <w:tr>
        <w:tblPrEx>
          <w:tblW w:w="10491" w:type="dxa"/>
          <w:jc w:val="left"/>
          <w:tblInd w:w="0" w:type="dxa"/>
          <w:tblLayout w:type="fixed"/>
          <w:tblCellMar>
            <w:top w:w="0" w:type="dxa"/>
            <w:left w:w="0" w:type="dxa"/>
            <w:bottom w:w="0" w:type="dxa"/>
            <w:right w:w="0" w:type="dxa"/>
          </w:tblCellMar>
          <w:tblLook w:val="04A0"/>
        </w:tblPrEx>
        <w:trPr>
          <w:trHeight w:val="20"/>
          <w:jc w:val="left"/>
        </w:trPr>
        <w:tc>
          <w:tcPr>
            <w:tcW w:w="10490" w:type="dxa"/>
            <w:shd w:val="clear" w:color="auto" w:fill="auto"/>
          </w:tcPr>
          <w:p>
            <w:pPr>
              <w:pStyle w:val="SDSTextHeading4"/>
              <w:widowControl/>
              <w:spacing w:before="120" w:after="60"/>
              <w:jc w:val="left"/>
              <w:rPr>
                <w:rFonts w:ascii="Cambria" w:eastAsia="Times New Roman" w:hAnsi="Cambria" w:cs="Arial"/>
                <w:kern w:val="0"/>
                <w:sz w:val="16"/>
                <w:szCs w:val="16"/>
                <w:lang w:val="en-GB" w:bidi="ar-SA"/>
              </w:rPr>
            </w:pPr>
            <w:r>
              <w:rPr>
                <w:rFonts w:ascii="Cambria" w:eastAsia="Times New Roman" w:hAnsi="Cambria" w:cs="Arial"/>
                <w:noProof/>
                <w:kern w:val="0"/>
                <w:sz w:val="16"/>
                <w:szCs w:val="16"/>
                <w:lang w:val="en-GB" w:bidi="ar-SA"/>
              </w:rPr>
              <w:t>Allemagne</w:t>
            </w:r>
          </w:p>
        </w:tc>
      </w:tr>
      <w:tr>
        <w:tblPrEx>
          <w:tblW w:w="10491" w:type="dxa"/>
          <w:jc w:val="left"/>
          <w:tblInd w:w="0" w:type="dxa"/>
          <w:tblLayout w:type="fixed"/>
          <w:tblCellMar>
            <w:top w:w="0" w:type="dxa"/>
            <w:left w:w="0" w:type="dxa"/>
            <w:bottom w:w="0" w:type="dxa"/>
            <w:right w:w="0" w:type="dxa"/>
          </w:tblCellMar>
          <w:tblLook w:val="04A0"/>
        </w:tblPrEx>
        <w:trPr>
          <w:trHeight w:val="20"/>
          <w:jc w:val="left"/>
        </w:trPr>
        <w:tc>
          <w:tcPr>
            <w:tcW w:w="10490" w:type="dxa"/>
            <w:shd w:val="clear" w:color="auto" w:fill="auto"/>
          </w:tcPr>
          <w:tbl>
            <w:tblPr>
              <w:tblStyle w:val="SDSTableWithBordersWithHeaderRow"/>
              <w:tblW w:w="10487" w:type="dxa"/>
              <w:jc w:val="left"/>
              <w:tblInd w:w="0" w:type="dxa"/>
              <w:tblLayout w:type="fixed"/>
              <w:tblCellMar>
                <w:top w:w="57" w:type="dxa"/>
                <w:left w:w="57" w:type="dxa"/>
                <w:bottom w:w="57" w:type="dxa"/>
                <w:right w:w="57" w:type="dxa"/>
              </w:tblCellMar>
              <w:tblLook w:val="04A0"/>
            </w:tblPr>
            <w:tblGrid>
              <w:gridCol w:w="1141"/>
              <w:gridCol w:w="852"/>
              <w:gridCol w:w="1982"/>
              <w:gridCol w:w="3685"/>
              <w:gridCol w:w="1418"/>
              <w:gridCol w:w="1409"/>
            </w:tblGrid>
            <w:tr>
              <w:tblPrEx>
                <w:tblW w:w="10487" w:type="dxa"/>
                <w:jc w:val="left"/>
                <w:tblInd w:w="0" w:type="dxa"/>
                <w:tblLayout w:type="fixed"/>
                <w:tblCellMar>
                  <w:top w:w="57" w:type="dxa"/>
                  <w:left w:w="57" w:type="dxa"/>
                  <w:bottom w:w="57" w:type="dxa"/>
                  <w:right w:w="57" w:type="dxa"/>
                </w:tblCellMar>
                <w:tblLook w:val="04A0"/>
              </w:tblPrEx>
              <w:trPr>
                <w:jc w:val="left"/>
              </w:trPr>
              <w:tc>
                <w:tcPr>
                  <w:tcW w:w="10486" w:type="dxa"/>
                  <w:gridSpan w:val="6"/>
                  <w:tcBorders>
                    <w:top w:val="single" w:sz="4" w:space="0" w:color="CACACA"/>
                    <w:left w:val="single" w:sz="4" w:space="0" w:color="CACACA"/>
                    <w:bottom w:val="single" w:sz="4" w:space="0" w:color="CACACA"/>
                    <w:right w:val="single" w:sz="4" w:space="0" w:color="CACACA"/>
                  </w:tcBorders>
                  <w:shd w:val="clear" w:color="auto" w:fill="CACACA"/>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Contrôle de la qualité de l’air (TA Luft)</w:t>
                  </w:r>
                </w:p>
              </w:tc>
            </w:tr>
            <w:tr>
              <w:tblPrEx>
                <w:tblW w:w="10487" w:type="dxa"/>
                <w:jc w:val="left"/>
                <w:tblInd w:w="0" w:type="dxa"/>
                <w:tblLayout w:type="fixed"/>
                <w:tblCellMar>
                  <w:top w:w="57" w:type="dxa"/>
                  <w:left w:w="57" w:type="dxa"/>
                  <w:bottom w:w="57" w:type="dxa"/>
                  <w:right w:w="57" w:type="dxa"/>
                </w:tblCellMar>
                <w:tblLook w:val="04A0"/>
              </w:tblPrEx>
              <w:trPr>
                <w:jc w:val="left"/>
              </w:trPr>
              <w:tc>
                <w:tcPr>
                  <w:tcW w:w="1140"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w:t>
                  </w:r>
                </w:p>
              </w:tc>
              <w:tc>
                <w:tcPr>
                  <w:tcW w:w="852"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w:t>
                  </w:r>
                </w:p>
              </w:tc>
              <w:tc>
                <w:tcPr>
                  <w:tcW w:w="1982"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Applicable sur</w:t>
                  </w:r>
                </w:p>
              </w:tc>
              <w:tc>
                <w:tcPr>
                  <w:tcW w:w="3685"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local</w:t>
                  </w:r>
                </w:p>
              </w:tc>
              <w:tc>
                <w:tcPr>
                  <w:tcW w:w="14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Débit massique maximal</w:t>
                  </w:r>
                </w:p>
              </w:tc>
              <w:tc>
                <w:tcPr>
                  <w:tcW w:w="140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Concentration massique maximale</w:t>
                  </w:r>
                </w:p>
              </w:tc>
            </w:tr>
          </w:tbl>
          <w:p/>
        </w:tc>
      </w:tr>
    </w:tbl>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Dam.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Liquides inflammables,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H226</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 et vapeurs inflammables.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H304</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être mortel en cas d’ingestion et de pénétration dans les voies respiratoires.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de graves lésions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9"/>
      <w:footerReference w:type="default" r:id="rId10"/>
      <w:headerReference w:type="first" r:id="rId11"/>
      <w:footerReference w:type="first" r:id="rId12"/>
      <w:type w:val="nextPage"/>
      <w:pgSz w:w="11906" w:h="16838"/>
      <w:pgMar w:top="766" w:right="720" w:bottom="766" w:left="720" w:header="709" w:footer="709" w:gutter="0"/>
      <w:pgNumType w:fmt="decimal"/>
      <w:cols w:space="708"/>
      <w:formProt w:val="0"/>
      <w:titlePg/>
      <w:textDirection w:val="lrTb"/>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23/06/2025 (Date d’émission)</w:t>
          </w:r>
        </w:p>
      </w:tc>
      <w:tc>
        <w:tcPr>
          <w:tcW w:w="3459" w:type="dxa"/>
          <w:tcBorders>
            <w:top w:val="single" w:sz="4" w:space="0" w:color="000000"/>
          </w:tcBorders>
        </w:tcPr>
        <w:p>
          <w:pPr>
            <w:pStyle w:val="SDSTableTextFooter"/>
            <w:widowControl w:val="0"/>
            <w:jc w:val="center"/>
          </w:pPr>
          <w:r>
            <w:rPr>
              <w:noProof/>
            </w:rPr>
            <w:t>EU - fr</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rPr>
              <w:rFonts w:ascii="Arial" w:eastAsia="Times New Roman" w:hAnsi="Arial" w:cs="Arial"/>
              <w:color w:val="auto"/>
              <w:kern w:val="0"/>
              <w:sz w:val="14"/>
              <w:szCs w:val="14"/>
              <w:lang w:val="en-GB" w:eastAsia="nl-NL" w:bidi="ar-SA"/>
            </w:rPr>
            <w:t>10</w:t>
          </w:r>
          <w:r>
            <w:fldChar w:fldCharType="end"/>
          </w:r>
          <w:r>
            <w:t>/</w:t>
          </w:r>
          <w:r>
            <w:fldChar w:fldCharType="begin"/>
          </w:r>
          <w:r>
            <w:instrText xml:space="preserve"> NUMPAGES </w:instrText>
          </w:r>
          <w:r>
            <w:fldChar w:fldCharType="separate"/>
          </w:r>
          <w:r>
            <w:t>10</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23/06/2025 (Date d’émission)</w:t>
          </w:r>
        </w:p>
      </w:tc>
      <w:tc>
        <w:tcPr>
          <w:tcW w:w="3459" w:type="dxa"/>
          <w:tcBorders>
            <w:top w:val="single" w:sz="4" w:space="0" w:color="000000"/>
          </w:tcBorders>
        </w:tcPr>
        <w:p>
          <w:pPr>
            <w:pStyle w:val="SDSTableTextFooter"/>
            <w:widowControl w:val="0"/>
            <w:jc w:val="center"/>
          </w:pPr>
          <w:r>
            <w:rPr>
              <w:noProof/>
            </w:rPr>
            <w:t>EU - fr</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rPr>
              <w:rFonts w:ascii="Arial" w:eastAsia="Times New Roman" w:hAnsi="Arial" w:cs="Arial"/>
              <w:color w:val="auto"/>
              <w:kern w:val="0"/>
              <w:sz w:val="14"/>
              <w:szCs w:val="14"/>
              <w:lang w:val="en-GB" w:eastAsia="nl-NL" w:bidi="ar-SA"/>
            </w:rPr>
            <w:t>1</w:t>
          </w:r>
          <w:r>
            <w:fldChar w:fldCharType="end"/>
          </w:r>
          <w:r>
            <w:t>/</w:t>
          </w:r>
          <w:r>
            <w:fldChar w:fldCharType="begin"/>
          </w:r>
          <w:r>
            <w:instrText xml:space="preserve"> NUMPAGES </w:instrText>
          </w:r>
          <w:r>
            <w:fldChar w:fldCharType="separate"/>
          </w:r>
          <w:r>
            <w:t>10</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Smelly</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5" name=""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Smelly</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23/06/2025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lsdException w:name="Smart Hyperlink" w:semiHidden="1"/>
    <w:lsdException w:name="Hashtag" w:semiHidden="1"/>
    <w:lsdException w:name="Unresolved Mention" w:semiHidden="1"/>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paragraph" w:styleId="Heading1">
    <w:name w:val="heading 1"/>
    <w:basedOn w:val="Normal"/>
    <w:next w:val="Normal"/>
    <w:link w:val="Heading1Char"/>
    <w:uiPriority w:val="99"/>
    <w:semiHidden/>
    <w:qFormat/>
    <w:rsid w:val="000401C3"/>
    <w:pPr>
      <w:keepNext/>
      <w:spacing w:before="240" w:after="60" w:line="240" w:lineRule="auto"/>
      <w:outlineLvl w:val="0"/>
    </w:pPr>
    <w:rPr>
      <w:rFonts w:ascii="Cambria" w:hAnsi="Cambria" w:cs="Times New Roman"/>
      <w:b/>
      <w:bCs/>
      <w:kern w:val="2"/>
      <w:sz w:val="32"/>
      <w:szCs w:val="32"/>
      <w:lang w:val="nl-NL"/>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Heading1Char">
    <w:name w:val="Heading 1 Char"/>
    <w:uiPriority w:val="99"/>
    <w:semiHidden/>
    <w:qFormat/>
    <w:rsid w:val="004748CD"/>
    <w:rPr>
      <w:rFonts w:ascii="Cambria" w:hAnsi="Cambria"/>
      <w:b/>
      <w:bCs/>
      <w:kern w:val="2"/>
      <w:sz w:val="32"/>
      <w:szCs w:val="32"/>
      <w:lang w:val="nl-NL" w:eastAsia="nl-NL"/>
    </w:rPr>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HeaderChar">
    <w:name w:val="Header Char"/>
    <w:basedOn w:val="DefaultParagraphFont"/>
    <w:uiPriority w:val="99"/>
    <w:semiHidden/>
    <w:qFormat/>
    <w:rsid w:val="00D7333C"/>
    <w:rPr>
      <w:rFonts w:ascii="Arial" w:hAnsi="Arial" w:cs="Arial"/>
      <w:sz w:val="16"/>
      <w:szCs w:val="16"/>
      <w:lang w:eastAsia="nl-NL"/>
    </w:rPr>
  </w:style>
  <w:style w:type="character" w:customStyle="1" w:styleId="FooterChar">
    <w:name w:val="Footer Char"/>
    <w:basedOn w:val="DefaultParagraphFont"/>
    <w:uiPriority w:val="99"/>
    <w:semiHidden/>
    <w:qFormat/>
    <w:rsid w:val="00D7333C"/>
    <w:rPr>
      <w:rFonts w:ascii="Arial" w:hAnsi="Arial" w:cs="Arial"/>
      <w:sz w:val="16"/>
      <w:szCs w:val="16"/>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paragraph" w:styleId="Header">
    <w:name w:val="header"/>
    <w:basedOn w:val="Normal"/>
    <w:link w:val="HeaderChar"/>
    <w:uiPriority w:val="99"/>
    <w:semiHidden/>
    <w:rsid w:val="00D7333C"/>
    <w:pPr>
      <w:tabs>
        <w:tab w:val="clear" w:pos="709"/>
        <w:tab w:val="center" w:pos="4513"/>
        <w:tab w:val="right" w:pos="9026"/>
      </w:tabs>
      <w:spacing w:line="240" w:lineRule="auto"/>
    </w:pPr>
  </w:style>
  <w:style w:type="paragraph" w:styleId="Footer">
    <w:name w:val="footer"/>
    <w:basedOn w:val="Normal"/>
    <w:link w:val="FooterChar"/>
    <w:uiPriority w:val="99"/>
    <w:semiHidden/>
    <w:rsid w:val="00D7333C"/>
    <w:pPr>
      <w:tabs>
        <w:tab w:val="clear" w:pos="709"/>
        <w:tab w:val="center" w:pos="4513"/>
        <w:tab w:val="right" w:pos="9026"/>
      </w:tabs>
    </w:p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10</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