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BOUGIE A 10% - Tiramisu</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d’usage principal</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vertAnchor="text" w:horzAnchor="text" w:leftFromText="141" w:rightFromText="141" w:tblpX="0" w:tblpY="1"/>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Style8"/>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Style8"/>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6"/>
        <w:gridCol w:w="1134"/>
        <w:gridCol w:w="3970"/>
      </w:tblGrid>
      <w:tr>
        <w:trPr/>
        <w:tc>
          <w:tcPr>
            <w:tcW w:w="53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c>
          <w:tcPr>
            <w:tcW w:w="1134"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H317 </w:t>
            </w:r>
          </w:p>
        </w:tc>
        <w:tc>
          <w:tcPr>
            <w:tcW w:w="3970" w:type="dxa"/>
            <w:tcBorders/>
            <w:shd w:color="auto" w:fill="auto" w:val="clear"/>
          </w:tcPr>
          <w:p>
            <w:pPr>
              <w:pStyle w:val="Normal"/>
              <w:suppressAutoHyphens w:val="true"/>
              <w:rPr/>
            </w:pPr>
            <w:r>
              <w:rPr/>
            </w:r>
          </w:p>
        </w:tc>
      </w:tr>
      <w:tr>
        <w:trPr/>
        <w:tc>
          <w:tcPr>
            <w:tcW w:w="53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c>
          <w:tcPr>
            <w:tcW w:w="1134"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H412 </w:t>
            </w:r>
          </w:p>
        </w:tc>
        <w:tc>
          <w:tcPr>
            <w:tcW w:w="3970" w:type="dxa"/>
            <w:tcBorders/>
            <w:shd w:color="auto" w:fill="auto" w:val="clear"/>
          </w:tcPr>
          <w:p>
            <w:pPr>
              <w:pStyle w:val="Normal"/>
              <w:suppressAutoHyphens w:val="true"/>
              <w:rPr/>
            </w:pPr>
            <w:r>
              <w:rPr/>
            </w:r>
          </w:p>
        </w:tc>
      </w:tr>
    </w:tbl>
    <w:p>
      <w:pPr>
        <w:pStyle w:val="SDSTextNormal"/>
        <w:rPr>
          <w:rFonts w:ascii="Cambria" w:hAnsi="Cambria"/>
        </w:rPr>
      </w:pPr>
      <w:r>
        <w:rPr>
          <w:rFonts w:ascii="Cambria" w:hAnsi="Cambria"/>
        </w:rPr>
        <w:t>Texte intégral des mentions H et EUH : voir rubrique 16</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6"/>
        <w:gridCol w:w="1076"/>
        <w:gridCol w:w="1077"/>
        <w:gridCol w:w="1079"/>
        <w:gridCol w:w="1131"/>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Pictogrammes de danger (CLP)</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1077"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drawing>
                <wp:inline distT="0" distB="0" distL="0" distR="0">
                  <wp:extent cx="635000" cy="635000"/>
                  <wp:effectExtent l="0" t="0" r="0" b="0"/>
                  <wp:docPr id="1" name="Image1"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GHS07"/>
                          <pic:cNvPicPr>
                            <a:picLocks noChangeAspect="1" noChangeArrowheads="1"/>
                          </pic:cNvPicPr>
                        </pic:nvPicPr>
                        <pic:blipFill>
                          <a:blip r:embed="rId4"/>
                          <a:stretch>
                            <a:fillRect/>
                          </a:stretch>
                        </pic:blipFill>
                        <pic:spPr bwMode="auto">
                          <a:xfrm>
                            <a:off x="0" y="0"/>
                            <a:ext cx="635000" cy="635000"/>
                          </a:xfrm>
                          <a:prstGeom prst="rect">
                            <a:avLst/>
                          </a:prstGeom>
                          <a:noFill/>
                        </pic:spPr>
                      </pic:pic>
                    </a:graphicData>
                  </a:graphic>
                </wp:inline>
              </w:drawing>
            </w:r>
          </w:p>
        </w:tc>
        <w:tc>
          <w:tcPr>
            <w:tcW w:w="1076"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GHS07</w:t>
            </w:r>
          </w:p>
        </w:tc>
        <w:tc>
          <w:tcPr>
            <w:tcW w:w="1076"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 d’avertissement (CLP)</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Attention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CINNAMIQUE; COUMARINE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Mentions de danger (CLP)</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H317 - Peut provoquer une allergie cutanée.</w:t>
              <w:br/>
              <w:t>H412 - Nocif pour les organismes aquatiques, entraîne des effets néfastes à long terme.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benzoate de benzyle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120-51-4</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204-402-9</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607-085-00-9</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01-2119976371-33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RHODIAROME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121-32-4</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204-464-7</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01-2119958961-24</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1,54</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COUMARINE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91-64-5</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202-086-7</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01-2119943756-26</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0,455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ANISIQUE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123-11-5</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204-602-6</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01-2119977101-43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0,322</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 H412</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CINNAMIQUE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104-55-2</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203-213-9</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01-2119935242-45</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0,265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cutanée), H312</w:t>
              <w:br/>
              <w:t>Skin Irrit. 2, H315</w:t>
              <w:br/>
              <w:t>Eye Irrit. 2, H319</w:t>
              <w:br/>
              <w:t>Skin Sens. 1A, H317</w:t>
              <w:br/>
              <w:t>Aquatic Chronic 3, H412</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SALICYLATE AMYLE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2050-08-0</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218-080-2</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01-2119969444-27-XXXX</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0,24</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1, H410</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 après inhalation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non appropriés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Mesures d’hygiène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2" name="Image2"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unettes anti-éclaboussures ou lunettes de sécurité"/>
                          <pic:cNvPicPr>
                            <a:picLocks noChangeAspect="1" noChangeArrowheads="1"/>
                          </pic:cNvPicPr>
                        </pic:nvPicPr>
                        <pic:blipFill>
                          <a:blip r:embed="rId5"/>
                          <a:stretch>
                            <a:fillRect/>
                          </a:stretch>
                        </pic:blipFill>
                        <pic:spPr bwMode="auto">
                          <a:xfrm>
                            <a:off x="0" y="0"/>
                            <a:ext cx="635000" cy="635000"/>
                          </a:xfrm>
                          <a:prstGeom prst="rect">
                            <a:avLst/>
                          </a:prstGeom>
                          <a:noFill/>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ivoire.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caractéristique.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200 °C</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ANISIQUE (123-11-5)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3210 mg/kg</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CINNAMIQUE (104-55-2)</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2220 mg/kg</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1260 mg/kg</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 (120-51-4)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1160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RHODIAROME (121-32-4)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3000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SALICYLATE AMYLE (2050-08-0)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2000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Ecologie - eau</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Tiramisu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ANISIQUE123-11-5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SALICYLATE AMYLE2050-08-0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Tiramisu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ANISIQUE123-11-5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SALICYLATE AMYLE2050-08-0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sur les déchets écologiques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(ALDEHYDE CINNAMIQUE), 9, III, (-)</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Environmentally hazardous substance, liquid, n.o.s., 9, III</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a:noFill/>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a:noFill/>
                        </pic:spPr>
                      </pic:pic>
                    </a:graphicData>
                  </a:graphic>
                </wp:inline>
              </w:drawing>
            </w: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a:noFill/>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a:noFill/>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7" name="Image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9"/>
                          <pic:cNvPicPr>
                            <a:picLocks noChangeAspect="1" noChangeArrowheads="1"/>
                          </pic:cNvPicPr>
                        </pic:nvPicPr>
                        <pic:blipFill>
                          <a:blip r:embed="rId10"/>
                          <a:stretch>
                            <a:fillRect/>
                          </a:stretch>
                        </pic:blipFill>
                        <pic:spPr bwMode="auto">
                          <a:xfrm>
                            <a:off x="0" y="0"/>
                            <a:ext cx="635000" cy="635000"/>
                          </a:xfrm>
                          <a:prstGeom prst="rect">
                            <a:avLst/>
                          </a:prstGeom>
                          <a:noFill/>
                        </pic:spPr>
                      </pic:pic>
                    </a:graphicData>
                  </a:graphic>
                </wp:inline>
              </w:drawing>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bidi="ar-SA"/>
              </w:rPr>
            </w:pPr>
            <w:r>
              <w:rPr>
                <w:rFonts w:eastAsia="Times New Roman" w:cs="Arial"/>
                <w:kern w:val="0"/>
                <w:sz w:val="16"/>
                <w:lang w:val="en-GB" w:bidi="ar-SA"/>
              </w:rPr>
              <w:t>Code de classification (ADR)</w:t>
            </w:r>
            <w:r>
              <w:rPr>
                <w:rFonts w:eastAsia="Times New Roman" w:cs="Arial"/>
                <w:kern w:val="0"/>
                <w:sz w:val="16"/>
                <w:lang w:val="fr-BE" w:bidi="ar-SA"/>
              </w:rPr>
              <w:t xml:space="preserve"> </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274, 335, 375, 601, 650</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PP1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relatives à l‘emballage en commun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90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drawing>
                <wp:inline distT="0" distB="0" distL="0" distR="0">
                  <wp:extent cx="762000" cy="571500"/>
                  <wp:effectExtent l="0" t="0" r="0" b="0"/>
                  <wp:docPr id="8" name="Image8"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Panneaux oranges"/>
                          <pic:cNvPicPr>
                            <a:picLocks noChangeAspect="1" noChangeArrowheads="1"/>
                          </pic:cNvPicPr>
                        </pic:nvPicPr>
                        <pic:blipFill>
                          <a:blip r:embed="rId11"/>
                          <a:stretch>
                            <a:fillRect/>
                          </a:stretch>
                        </pic:blipFill>
                        <pic:spPr bwMode="auto">
                          <a:xfrm>
                            <a:off x="0" y="0"/>
                            <a:ext cx="762000" cy="571500"/>
                          </a:xfrm>
                          <a:prstGeom prst="rect">
                            <a:avLst/>
                          </a:prstGeom>
                          <a:noFill/>
                        </pic:spPr>
                      </pic:pic>
                    </a:graphicData>
                  </a:graphic>
                </wp:inline>
              </w:drawing>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restriction en tunnels (ADR)</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274, 335, 375, 969</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IBC03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quantité limitée avion passagers et cargo (IATA)</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30kgG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9L</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(ADN)</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274, 335, 375, 601, 650</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274, 335, 375, 601, 650</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90</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2024/590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rPr>
          <w:trHeight w:val="20" w:hRule="atLeast"/>
        </w:trPr>
        <w:tc>
          <w:tcPr>
            <w:tcW w:w="10491" w:type="dxa"/>
            <w:tcBorders/>
            <w:shd w:color="auto" w:fill="auto" w:val="clear"/>
          </w:tcPr>
          <w:p>
            <w:pPr>
              <w:pStyle w:val="SDSTextHeading4"/>
              <w:widowControl/>
              <w:suppressAutoHyphens w:val="true"/>
              <w:spacing w:before="120" w:after="60"/>
              <w:jc w:val="left"/>
              <w:rPr>
                <w:rFonts w:ascii="Cambria" w:hAnsi="Cambria" w:eastAsia="Times New Roman" w:cs="Arial"/>
                <w:kern w:val="0"/>
                <w:sz w:val="16"/>
                <w:szCs w:val="16"/>
                <w:lang w:val="en-GB" w:bidi="ar-SA"/>
              </w:rPr>
            </w:pPr>
            <w:r>
              <w:rPr>
                <w:rFonts w:eastAsia="Times New Roman" w:cs="Arial" w:ascii="Cambria" w:hAnsi="Cambria"/>
                <w:kern w:val="0"/>
                <w:sz w:val="16"/>
                <w:szCs w:val="16"/>
                <w:lang w:val="en-GB" w:bidi="ar-SA"/>
              </w:rPr>
              <w:t>Allemagne</w:t>
            </w:r>
          </w:p>
        </w:tc>
      </w:tr>
      <w:tr>
        <w:trPr>
          <w:trHeight w:val="20" w:hRule="atLeast"/>
        </w:trPr>
        <w:tc>
          <w:tcPr>
            <w:tcW w:w="10491" w:type="dxa"/>
            <w:tcBorders/>
            <w:shd w:color="auto" w:fill="auto" w:val="clear"/>
          </w:tcPr>
          <w:tbl>
            <w:tblPr>
              <w:tblStyle w:val="SDSTableWithBordersWithHeaderRow"/>
              <w:tblW w:w="10487" w:type="dxa"/>
              <w:jc w:val="left"/>
              <w:tblInd w:w="0" w:type="dxa"/>
              <w:tblLayout w:type="fixed"/>
              <w:tblCellMar>
                <w:top w:w="57" w:type="dxa"/>
                <w:left w:w="57" w:type="dxa"/>
                <w:bottom w:w="57" w:type="dxa"/>
                <w:right w:w="57" w:type="dxa"/>
              </w:tblCellMar>
              <w:tblLook w:val="04a0"/>
            </w:tblPr>
            <w:tblGrid>
              <w:gridCol w:w="1140"/>
              <w:gridCol w:w="852"/>
              <w:gridCol w:w="1982"/>
              <w:gridCol w:w="3685"/>
              <w:gridCol w:w="1418"/>
              <w:gridCol w:w="1409"/>
            </w:tblGrid>
            <w:tr>
              <w:trPr/>
              <w:tc>
                <w:tcPr>
                  <w:tcW w:w="10486" w:type="dxa"/>
                  <w:gridSpan w:val="6"/>
                  <w:tcBorders>
                    <w:top w:val="single" w:sz="4" w:space="0" w:color="CACACA"/>
                    <w:left w:val="single" w:sz="4" w:space="0" w:color="CACACA"/>
                    <w:bottom w:val="single" w:sz="4" w:space="0" w:color="CACACA"/>
                    <w:right w:val="single" w:sz="4" w:space="0" w:color="CACACA"/>
                  </w:tcBorders>
                  <w:shd w:color="auto" w:fill="CACACA"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Contrôle de la qualité de l’air (TA Luft)</w:t>
                  </w:r>
                </w:p>
              </w:tc>
            </w:tr>
            <w:tr>
              <w:trPr/>
              <w:tc>
                <w:tcPr>
                  <w:tcW w:w="114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w:t>
                  </w:r>
                </w:p>
              </w:tc>
              <w:tc>
                <w:tcPr>
                  <w:tcW w:w="852"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w:t>
                  </w:r>
                </w:p>
              </w:tc>
              <w:tc>
                <w:tcPr>
                  <w:tcW w:w="1982"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Applicable sur</w:t>
                  </w:r>
                </w:p>
              </w:tc>
              <w:tc>
                <w:tcPr>
                  <w:tcW w:w="3685"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local</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Débit massique maximal</w:t>
                  </w:r>
                </w:p>
              </w:tc>
              <w:tc>
                <w:tcPr>
                  <w:tcW w:w="1409"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Concentration massique maximale</w:t>
                  </w:r>
                </w:p>
              </w:tc>
            </w:tr>
          </w:tbl>
          <w:p>
            <w:pPr>
              <w:pStyle w:val="Normal"/>
              <w:rPr/>
            </w:pPr>
            <w:r>
              <w:rPr/>
            </w:r>
          </w:p>
        </w:tc>
      </w:tr>
    </w:tbl>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cutanée)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Repr.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1A</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par contact cutané.</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H361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Susceptible de nuire à la fertilité ou au fœtus.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19/06/2025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xml:space="preserve"> PAGE </w:instrText>
          </w:r>
          <w:r>
            <w:rPr/>
            <w:fldChar w:fldCharType="separate"/>
          </w:r>
          <w:r>
            <w:rPr/>
            <w:t>12</w:t>
          </w:r>
          <w:r>
            <w:rPr/>
            <w:fldChar w:fldCharType="end"/>
          </w:r>
          <w:r>
            <w:rPr/>
            <w:t>/</w:t>
          </w:r>
          <w:r>
            <w:rPr/>
            <w:fldChar w:fldCharType="begin"/>
          </w:r>
          <w:r>
            <w:rPr/>
            <w:instrText xml:space="preserve"> NUMPAGES </w:instrText>
          </w:r>
          <w:r>
            <w:rPr/>
            <w:fldChar w:fldCharType="separate"/>
          </w:r>
          <w:r>
            <w:rPr/>
            <w:t>12</w:t>
          </w:r>
          <w:r>
            <w:rPr/>
            <w:fldChar w:fldCharType="end"/>
          </w:r>
        </w:p>
      </w:tc>
    </w:tr>
  </w:tbl>
  <w:p>
    <w:pPr>
      <w:pStyle w:val="SDSTextBlankLin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19/06/2025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xml:space="preserve"> PAGE </w:instrText>
          </w:r>
          <w:r>
            <w:rPr/>
            <w:fldChar w:fldCharType="separate"/>
          </w:r>
          <w:r>
            <w:rPr/>
            <w:t>1</w:t>
          </w:r>
          <w:r>
            <w:rPr/>
            <w:fldChar w:fldCharType="end"/>
          </w:r>
          <w:r>
            <w:rPr/>
            <w:t>/</w:t>
          </w:r>
          <w:r>
            <w:rPr/>
            <w:fldChar w:fldCharType="begin"/>
          </w:r>
          <w:r>
            <w:rPr/>
            <w:instrText xml:space="preserve"> NUMPAGES </w:instrText>
          </w:r>
          <w:r>
            <w:rPr/>
            <w:fldChar w:fldCharType="separate"/>
          </w:r>
          <w:r>
            <w:rPr/>
            <w:t>12</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sz w:val="32"/>
              <w:szCs w:val="32"/>
            </w:rPr>
          </w:pPr>
          <w:r>
            <w:rPr>
              <w:b/>
              <w:sz w:val="32"/>
              <w:szCs w:val="32"/>
            </w:rPr>
            <w:t>FDS BOUGIE A 10% - Tiramisu</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0" distR="0">
                <wp:extent cx="773430" cy="647700"/>
                <wp:effectExtent l="0" t="0" r="0" b="0"/>
                <wp:docPr id="9" name="Image9"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Logo pour "/>
                        <pic:cNvPicPr>
                          <a:picLocks noChangeAspect="1" noChangeArrowheads="1"/>
                        </pic:cNvPicPr>
                      </pic:nvPicPr>
                      <pic:blipFill>
                        <a:blip r:embed="rId1"/>
                        <a:stretch>
                          <a:fillRect/>
                        </a:stretch>
                      </pic:blipFill>
                      <pic:spPr bwMode="auto">
                        <a:xfrm>
                          <a:off x="0" y="0"/>
                          <a:ext cx="773430" cy="647700"/>
                        </a:xfrm>
                        <a:prstGeom prst="rect">
                          <a:avLst/>
                        </a:prstGeom>
                        <a:noFill/>
                      </pic:spPr>
                    </pic:pic>
                  </a:graphicData>
                </a:graphic>
              </wp:inline>
            </w:drawing>
          </w:r>
        </w:p>
      </w:tc>
      <w:tc>
        <w:tcPr>
          <w:tcW w:w="7540" w:type="dxa"/>
          <w:gridSpan w:val="2"/>
          <w:tcBorders/>
        </w:tcPr>
        <w:p>
          <w:pPr>
            <w:pStyle w:val="SDSTableTextHeader"/>
            <w:widowControl w:val="false"/>
            <w:rPr>
              <w:rFonts w:ascii="Cambria" w:hAnsi="Cambria"/>
              <w:b/>
              <w:sz w:val="32"/>
              <w:szCs w:val="32"/>
            </w:rPr>
          </w:pPr>
          <w:r>
            <w:rPr>
              <w:b/>
              <w:sz w:val="32"/>
              <w:szCs w:val="32"/>
            </w:rPr>
            <w:t>FDS BOUGIE A 10% - Tiramisu</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19/06/2025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paragraph" w:styleId="Heading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uiPriority w:val="99"/>
    <w:semiHidden/>
    <w:qFormat/>
    <w:rsid w:val="004748cd"/>
    <w:rPr>
      <w:rFonts w:ascii="Cambria" w:hAnsi="Cambria"/>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CenteredChar" w:customStyle="1">
    <w:name w:val="SDS_TableText_Centered Char"/>
    <w:link w:val="SDSTableTextCentered"/>
    <w:uiPriority w:val="16"/>
    <w:qFormat/>
    <w:rsid w:val="00aa1f17"/>
    <w:rPr>
      <w:rFonts w:ascii="Arial" w:hAnsi="Arial" w:cs="Arial"/>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uiPriority w:val="99"/>
    <w:semiHidden/>
    <w:qFormat/>
    <w:rsid w:val="00d7333c"/>
    <w:rPr>
      <w:rFonts w:ascii="Arial" w:hAnsi="Arial" w:cs="Arial"/>
      <w:sz w:val="16"/>
      <w:szCs w:val="16"/>
      <w:lang w:eastAsia="nl-NL"/>
    </w:rPr>
  </w:style>
  <w:style w:type="character" w:styleId="FooterChar" w:customStyle="1">
    <w:name w:val="Footer Char"/>
    <w:basedOn w:val="DefaultParagraphFont"/>
    <w:uiPriority w:val="99"/>
    <w:semiHidden/>
    <w:qFormat/>
    <w:rsid w:val="00d7333c"/>
    <w:rPr>
      <w:rFonts w:ascii="Arial" w:hAnsi="Arial" w:cs="Arial"/>
      <w:sz w:val="16"/>
      <w:szCs w:val="16"/>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Hyperlink">
    <w:name w:val="Hyperlink"/>
    <w:rPr>
      <w:color w:val="000080"/>
      <w:u w:val="single"/>
    </w:rPr>
  </w:style>
  <w:style w:type="character" w:styleId="FollowedHyperlink">
    <w:name w:val="FollowedHyperlink"/>
    <w:rPr>
      <w:color w:val="80000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semiHidden/>
    <w:rsid w:val="005e78c9"/>
    <w:pPr>
      <w:tabs>
        <w:tab w:val="clear" w:pos="709"/>
        <w:tab w:val="left" w:pos="3720" w:leader="dot"/>
        <w:tab w:val="left" w:pos="3969" w:leader="none"/>
      </w:tabs>
      <w:spacing w:lineRule="auto" w:line="240" w:before="0" w:after="60"/>
      <w:ind w:hanging="3969" w:left="3969"/>
    </w:pPr>
    <w:rPr>
      <w:rFonts w:eastAsia="MS Mincho" w:cs="Times New Roman"/>
      <w:sz w:val="20"/>
      <w:szCs w:val="24"/>
      <w:lang w:val="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Centered" w:customStyle="1">
    <w:name w:val="SDS_TableText_Centered"/>
    <w:basedOn w:val="SDSTableTextNormal"/>
    <w:link w:val="SDSTableTextCenteredChar"/>
    <w:uiPriority w:val="16"/>
    <w:qFormat/>
    <w:rsid w:val="00eb44fc"/>
    <w:pPr>
      <w:jc w:val="center"/>
    </w:pPr>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hanging="284" w:left="312"/>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hanging="284" w:left="312"/>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hanging="284" w:left="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hanging="284" w:left="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Header">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Footer">
    <w:name w:val="footer"/>
    <w:basedOn w:val="Normal"/>
    <w:link w:val="FooterChar"/>
    <w:uiPriority w:val="99"/>
    <w:semiHidden/>
    <w:rsid w:val="00d7333c"/>
    <w:pPr>
      <w:tabs>
        <w:tab w:val="clear" w:pos="709"/>
        <w:tab w:val="center" w:pos="4513" w:leader="none"/>
        <w:tab w:val="right" w:pos="9026" w:leader="none"/>
      </w:tabs>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3.png"/><Relationship Id="rId9" Type="http://schemas.openxmlformats.org/officeDocument/2006/relationships/image" Target="media/image3.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LibreOffice/25.2.4.3$Windows_X86_64 LibreOffice_project/33e196637044ead23f5c3226cde09b47731f7e27</Application>
  <AppVersion>15.0000</AppVersion>
  <Pages>12</Pages>
  <Words>3815</Words>
  <Characters>22709</Characters>
  <CharactersWithSpaces>25674</CharactersWithSpaces>
  <Paragraphs>891</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2025-06-19T17:01:26Z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