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Zeste floral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6"/>
        <w:gridCol w:w="285"/>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 ALDEHYDE HEXYL CINNAMIQUE; ETHYL LINALOL; FLORALOZONE; GERANIOL; HYDROXYCITRONELLAL; LINALOL;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0,342244575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0,34028035375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0,1607075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Zeste floral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Zeste floral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HEXYL CINNAMIQUE),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274, 335, 375, 601, 650</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1"/>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A97, A158, A197, A215</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274, 335, 375, 601, 650</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274, 335, 375, 601, 650</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2"/>
      <w:footerReference w:type="default" r:id="rId13"/>
      <w:headerReference w:type="first" r:id="rId14"/>
      <w:footerReference w:type="first" r:id="rId15"/>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22/04/2025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22/04/2025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Zeste floral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17"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Zeste floral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22/04/2025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