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3% - Gingembre confit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CEDRYLE(77-54-3), ACETATE LINALYLE(115-95-7), EUCALYPTOL(470-82-6), NERAL CRU(5392-40-5).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LINALYLE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115-95-7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204-116-4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EUCALYPTOL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470-82-6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207-431-5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01-2119967772-24-0006</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0,2595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 H226</w:t>
              <w:br/>
              <w:t>Skin Sens. 1B, H317</w:t>
              <w:br/>
              <w:t>Eye Irrit. 2, H319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NERAL CRU</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5392-40-5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226-394-6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605-019-00-3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0,1725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CEDRYLE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77-54-3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201-036-1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Exempté d'enregistrement REACH (&lt; 1T/an) / Exempted of REACH registration (&lt; 1T/year)</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0,1605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1, H410</w:t>
              <w:b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EUCALYPTOL (470-82-6)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2480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3% - Gingembre confit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EUCALYPTOL (470-82-6)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NERAL CRU (5392-40-5)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3% - Gingembre confit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NERAL CRU (5392-40-5)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(ACETATE CEDRYLE),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CEDRYLE(77-54-3), ACETATE LINALYLE(115-95-7), EUCALYPTOL(470-82-6), NERAL CRU(5392-40-5).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Liquides inflammables,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H226</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 et vapeurs inflammables.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18/01/2024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18/01/2024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3% - Gingembre confit</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3% - Gingembre confit</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18/01/2024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22</Pages>
  <Words>3311</Words>
  <Characters>19785</Characters>
  <CharactersWithSpaces>22320</CharactersWithSpaces>
  <Paragraphs>797</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