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4.5% - Bonbon violette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H412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H412 - Nocif pour les organismes aquatiques, entraîne des effets néfastes à long terme.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ACETATE CARYOPHYLENYLE(57082-24-3), METHYLIONONE GAMMA(127-51-5).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METHYLIONONE GAMMA</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127-51-5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204-846-3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01-2119471851-35-0000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0,99</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CARYOPHYLENYLE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57082-24-3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260-555-1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0,3825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br/>
              <w:t>Skin Irrit. 2, H315</w:t>
              <w:br/>
              <w:t>Aquatic Chronic 1, H410</w:t>
              <w:br/>
              <w:t>Aquatic Acute 1, H400</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 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Vitesse d'évaporation relative  (l'acétate butylique=1)</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 (solide, gaz)</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Pow)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dynamique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Propriétés explosives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Propriétés comburantes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 donnée disponible</w:t>
            </w:r>
          </w:p>
        </w:tc>
      </w:tr>
    </w:tbl>
    <w:p>
      <w:pPr>
        <w:pStyle w:val="SDSTextHeading2"/>
        <w:rPr>
          <w:rFonts w:ascii="Cambria" w:hAnsi="Cambria"/>
        </w:rPr>
      </w:pPr>
      <w:r>
        <w:rPr>
          <w:lang w:val="en-GB"/>
        </w:rPr>
        <w:t>9.2. Autres informations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effets toxicologiques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4.5% - Bonbon violette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4.5% - Bonbon violette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(METHYLIONONE GAMMA),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en vrac conformément à l’annexe II de la convention Marpol et au recueil IBC</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ACETATE CARYOPHYLENYLE(57082-24-3), METHYLIONONE GAMMA(127-51-5).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4.5% - Bonbon violette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conforme au Règlement (CE) N° 1907/2006 (REACH) tel que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4.5% - Bonbon violette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conforme au Règlement (CE) N° 1907/2006 (REACH) tel que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21</Pages>
  <Words>3195</Words>
  <Characters>19097</Characters>
  <CharactersWithSpaces>21573</CharactersWithSpaces>
  <Paragraphs>759</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