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4.5% - Fleur de cerisier</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ISO E SUPER(54464-57-2).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ISO E SUPER</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54464-57-2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259-174-3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01-2119489989-04-XXXX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Skin Sens. 1B, H317</w:t>
              <w:br/>
              <w:t>Aquatic Chronic 2, H411</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4.5% - Fleur de cerisier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 E SUPER54464-57-2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4.5% - Fleur de cerisier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 E SUPER54464-57-2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ISO E SUPER(54464-57-2).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10</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10</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4.5% - Fleur de cerisier</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4.5% - Fleur de cerisier</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22</Pages>
  <Words>3132</Words>
  <Characters>18614</Characters>
  <CharactersWithSpaces>21011</CharactersWithSpaces>
  <Paragraphs>769</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