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DSTextHeading1"/>
        <w:spacing w:before="360" w:after="120"/>
        <w:rPr>
          <w:lang w:val="fr-BE"/>
        </w:rPr>
      </w:pPr>
      <w:r>
        <w:rPr>
          <w:lang w:val="fr-BE"/>
        </w:rPr>
        <w:t>RUBRIQUE 1: Identification de la substance/du mélange et de la société/de l’entreprise</w:t>
      </w:r>
    </w:p>
    <w:p>
      <w:pPr>
        <w:pStyle w:val="SDSTextHeading2"/>
        <w:rPr>
          <w:lang w:val="en-GB"/>
        </w:rPr>
      </w:pPr>
      <w:r>
        <w:rPr>
          <w:lang w:val="en-GB"/>
        </w:rPr>
        <w:t>1.1. 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Forme du produit</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Mélange</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Nom commercial</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FDS 5.2% - Magnolia</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du produit</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 produits</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Bougies</w:t>
            </w:r>
          </w:p>
        </w:tc>
      </w:tr>
    </w:tbl>
    <w:p>
      <w:pPr>
        <w:pStyle w:val="SDSTextHeading2"/>
        <w:rPr>
          <w:lang w:val="fr-BE"/>
        </w:rPr>
      </w:pPr>
      <w:r>
        <w:rPr>
          <w:lang w:val="fr-BE"/>
        </w:rPr>
        <w:t>1.2. Utilisations identifiées pertinentes de la substance ou du mélange et utilisations déconseillées</w:t>
      </w:r>
    </w:p>
    <w:p>
      <w:pPr>
        <w:pStyle w:val="SDSTextHeading3"/>
        <w:rPr>
          <w:lang w:val="fr-BE"/>
        </w:rPr>
      </w:pPr>
      <w:r>
        <w:rPr>
          <w:lang w:val="fr-BE"/>
        </w:rPr>
        <w:t>1.2.1. Utilisations identifiées pertinentes</w:t>
      </w:r>
    </w:p>
    <w:p>
      <w:pPr>
        <w:pStyle w:val="SDSTextNormal"/>
        <w:rPr/>
      </w:pPr>
      <w:r>
        <w:rPr/>
        <w:t>Destiné au grand public</w:t>
      </w:r>
    </w:p>
    <w:p>
      <w:pPr>
        <w:pStyle w:val="SDSTextHeading3"/>
        <w:rPr/>
      </w:pPr>
      <w:r>
        <w:rPr/>
        <w:t>1.2.2. Utilisations déconseillées</w:t>
      </w:r>
    </w:p>
    <w:p>
      <w:pPr>
        <w:pStyle w:val="SDSTextNormal"/>
        <w:bidi w:val="0"/>
        <w:rPr/>
      </w:pPr>
      <w:r>
        <w:rPr/>
        <w:t>Pas d’informations complémentaires disponibles</w:t>
      </w:r>
    </w:p>
    <w:p>
      <w:pPr>
        <w:pStyle w:val="SDSTextHeading2"/>
        <w:rPr>
          <w:lang w:val="en-GB"/>
        </w:rPr>
      </w:pPr>
      <w:r>
        <w:rPr>
          <w:lang w:val="en-GB"/>
        </w:rPr>
        <w:t>1.3. Renseignements concernant le fournisseur de la fiche de données de sécurité</w:t>
      </w:r>
    </w:p>
    <w:tbl>
      <w:tblPr>
        <w:tblStyle w:val="SDSTableWithoutBorders"/>
        <w:tblpPr w:bottomFromText="0" w:horzAnchor="text" w:leftFromText="141" w:rightFromText="141" w:tblpX="0" w:tblpY="1" w:topFromText="0" w:vertAnchor="text"/>
        <w:tblW w:w="10485" w:type="dxa"/>
        <w:jc w:val="left"/>
        <w:tblInd w:w="0" w:type="dxa"/>
        <w:tblLayout w:type="fixed"/>
        <w:tblCellMar>
          <w:top w:w="0" w:type="dxa"/>
          <w:left w:w="0" w:type="dxa"/>
          <w:bottom w:w="0" w:type="dxa"/>
          <w:right w:w="0" w:type="dxa"/>
        </w:tblCellMar>
        <w:tblLook w:val="04a0"/>
      </w:tblPr>
      <w:tblGrid>
        <w:gridCol w:w="10485"/>
      </w:tblGrid>
      <w:tr>
        <w:trPr/>
        <w:tc>
          <w:tcPr>
            <w:tcW w:w="10485" w:type="dxa"/>
            <w:tcBorders/>
            <w:shd w:color="auto" w:fill="auto" w:val="clear"/>
          </w:tcPr>
          <w:p>
            <w:pPr>
              <w:pStyle w:val="SDSTableTextNormal"/>
              <w:widowControl/>
              <w:spacing w:before="0" w:after="0"/>
              <w:jc w:val="left"/>
              <w:rPr/>
            </w:pPr>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auto"/>
                <w:spacing w:val="0"/>
                <w:w w:val="100"/>
                <w:kern w:val="0"/>
                <w:position w:val="0"/>
                <w:sz w:val="16"/>
                <w:sz w:val="16"/>
                <w:szCs w:val="12"/>
                <w:u w:val="none" w:color="FFFFFF"/>
                <w:effect w:val="none"/>
                <w:vertAlign w:val="baseline"/>
                <w:lang w:val="en-GB" w:eastAsia="nl-NL" w:bidi="ar-SA"/>
              </w:rPr>
              <w:t>Nom de société</w:t>
              <w:br/>
              <w:t>Adresse</w:t>
              <w:br/>
              <w:t>Code postal Ville</w:t>
              <w:br/>
              <w:t>Pays</w:t>
              <w:br/>
              <w:t>T Téléphone</w:t>
              <w:br/>
            </w:r>
            <w:hyperlink r:id="rId2">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0000EE"/>
                  <w:spacing w:val="0"/>
                  <w:w w:val="100"/>
                  <w:kern w:val="0"/>
                  <w:position w:val="0"/>
                  <w:sz w:val="16"/>
                  <w:sz w:val="16"/>
                  <w:szCs w:val="12"/>
                  <w:u w:val="single" w:color="0000EE"/>
                  <w:effect w:val="none"/>
                  <w:vertAlign w:val="baseline"/>
                  <w:lang w:val="en-GB" w:eastAsia="nl-NL" w:bidi="ar-SA"/>
                </w:rPr>
                <w:t>Email</w:t>
              </w:r>
            </w:hyperlink>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auto"/>
                <w:spacing w:val="0"/>
                <w:w w:val="100"/>
                <w:kern w:val="0"/>
                <w:position w:val="0"/>
                <w:sz w:val="16"/>
                <w:sz w:val="16"/>
                <w:szCs w:val="12"/>
                <w:u w:val="none" w:color="FFFFFF"/>
                <w:effect w:val="none"/>
                <w:vertAlign w:val="baseline"/>
                <w:lang w:val="en-GB" w:eastAsia="nl-NL" w:bidi="ar-SA"/>
              </w:rPr>
              <w:t xml:space="preserve">, </w:t>
            </w:r>
            <w:hyperlink r:id="rId3">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0000EE"/>
                  <w:spacing w:val="0"/>
                  <w:w w:val="100"/>
                  <w:kern w:val="0"/>
                  <w:position w:val="0"/>
                  <w:sz w:val="16"/>
                  <w:sz w:val="16"/>
                  <w:szCs w:val="12"/>
                  <w:u w:val="single" w:color="0000EE"/>
                  <w:effect w:val="none"/>
                  <w:vertAlign w:val="baseline"/>
                  <w:lang w:val="en-GB" w:eastAsia="nl-NL" w:bidi="ar-SA"/>
                </w:rPr>
                <w:t>Site internet</w:t>
              </w:r>
            </w:hyperlink>
          </w:p>
        </w:tc>
      </w:tr>
    </w:tbl>
    <w:p>
      <w:pPr>
        <w:pStyle w:val="SDSTextHeading2"/>
        <w:rPr>
          <w:lang w:val="en-GB"/>
        </w:rPr>
      </w:pPr>
      <w:r>
        <w:rPr>
          <w:lang w:val="en-GB"/>
        </w:rPr>
        <w:t>1.4. Numéro d’appel d’urgence</w:t>
      </w:r>
    </w:p>
    <w:p>
      <w:pPr>
        <w:pStyle w:val="SDSTextNormal"/>
        <w:bidi w:val="0"/>
        <w:rPr/>
      </w:pPr>
      <w:r>
        <w:rPr/>
        <w:t>Pas d’informations complémentaires disponibles</w:t>
      </w:r>
    </w:p>
    <w:p>
      <w:pPr>
        <w:pStyle w:val="SDSTextHeading1"/>
        <w:rPr>
          <w:lang w:val="fr-BE"/>
        </w:rPr>
      </w:pPr>
      <w:r>
        <w:rPr>
          <w:lang w:val="fr-BE"/>
        </w:rPr>
        <w:t>RUBRIQUE 2: Identification des dangers</w:t>
      </w:r>
    </w:p>
    <w:p>
      <w:pPr>
        <w:pStyle w:val="SDSTextHeading2"/>
        <w:rPr>
          <w:lang w:val="fr-BE"/>
        </w:rPr>
      </w:pPr>
      <w:r>
        <w:rPr>
          <w:lang w:val="fr-BE"/>
        </w:rPr>
        <w:t>2.1. Classification de la substance ou du mélange</w:t>
      </w:r>
    </w:p>
    <w:p>
      <w:pPr>
        <w:pStyle w:val="SDSTextHeading3"/>
        <w:rPr>
          <w:lang w:val="fr-BE"/>
        </w:rPr>
      </w:pPr>
      <w:r>
        <w:rPr>
          <w:lang w:val="fr-BE"/>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4500"/>
        <w:gridCol w:w="2020"/>
        <w:gridCol w:w="1134"/>
        <w:gridCol w:w="2835"/>
      </w:tblGrid>
      <w:tr>
        <w:trPr/>
        <w:tc>
          <w:tcPr>
            <w:tcW w:w="450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3</w:t>
            </w:r>
          </w:p>
        </w:tc>
        <w:tc>
          <w:tcPr>
            <w:tcW w:w="20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H412 </w:t>
            </w:r>
          </w:p>
        </w:tc>
        <w:tc>
          <w:tcPr>
            <w:tcW w:w="1134" w:type="dxa"/>
            <w:tcBorders/>
            <w:shd w:color="auto" w:fill="auto" w:val="clear"/>
          </w:tcPr>
          <w:p>
            <w:pPr>
              <w:pStyle w:val="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3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r>
    </w:tbl>
    <w:p>
      <w:pPr>
        <w:pStyle w:val="SDSTextNormal"/>
        <w:rPr/>
      </w:pPr>
      <w:r>
        <w:rPr/>
        <w:t>Texte intégral des mentions H et EUH : voir rubrique 16</w:t>
      </w:r>
    </w:p>
    <w:p>
      <w:pPr>
        <w:pStyle w:val="SDSTextHeading3"/>
        <w:rPr/>
      </w:pPr>
      <w:r>
        <w:rPr/>
        <w:t>Effets néfastes physicochimiques, pour la santé humaine et pour l’environnement</w:t>
      </w:r>
    </w:p>
    <w:p>
      <w:pPr>
        <w:pStyle w:val="SDSTextNormal"/>
        <w:bidi w:val="0"/>
        <w:rPr/>
      </w:pPr>
      <w:r>
        <w:rPr/>
        <w:t>Pas d’informations complémentaires disponibles</w:t>
      </w:r>
    </w:p>
    <w:p>
      <w:pPr>
        <w:pStyle w:val="SDSTextHeading2"/>
        <w:rPr>
          <w:lang w:val="en-GB"/>
        </w:rPr>
      </w:pPr>
      <w:r>
        <w:rPr>
          <w:lang w:val="en-GB"/>
        </w:rPr>
        <w:t>2.2. Éléments d’étiquetage</w:t>
      </w:r>
    </w:p>
    <w:p>
      <w:pPr>
        <w:pStyle w:val="SDSTextHeading3"/>
        <w:rPr/>
      </w:pPr>
      <w:r>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Mention d’avertissement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Mentions de danger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H412 - Nocif pour les organismes aquatiques, entraîne des effets néfastes à long terme.</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Conseils de prudence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Phrases EUH</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EUH208 - Contient ISO E SUPER(54464-57-2), TRIMOFIX O(28371-99-5). Peut produire une réaction allergique.</w:t>
            </w:r>
          </w:p>
        </w:tc>
      </w:tr>
    </w:tbl>
    <w:p>
      <w:pPr>
        <w:pStyle w:val="SDSTextHeading2"/>
        <w:rPr>
          <w:lang w:val="en-GB"/>
        </w:rPr>
      </w:pPr>
      <w:r>
        <w:rPr>
          <w:lang w:val="en-GB"/>
        </w:rPr>
        <w:t>2.3. 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contient pas de substances PBT et/ou vPvB ≥ 0,1 % évaluées conformément à l’annexe XIII du règlement REACH</w:t>
            </w:r>
          </w:p>
        </w:tc>
      </w:tr>
    </w:tbl>
    <w:p>
      <w:pPr>
        <w:pStyle w:val="SDSTextNormal"/>
        <w:rPr/>
      </w:pPr>
      <w:r>
        <w:rPr/>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bookmarkStart w:id="0" w:name="_Hlk61356392"/>
            <w:bookmarkEnd w:id="0"/>
          </w:p>
        </w:tc>
      </w:tr>
    </w:tbl>
    <w:p>
      <w:pPr>
        <w:pStyle w:val="SDSTextBlankLine"/>
        <w:rPr/>
      </w:pPr>
      <w:r>
        <w:rPr/>
      </w:r>
    </w:p>
    <w:p>
      <w:pPr>
        <w:pStyle w:val="SDSTextHeading1"/>
        <w:rPr>
          <w:lang w:val="fr-BE"/>
        </w:rPr>
      </w:pPr>
      <w:r>
        <w:rPr>
          <w:lang w:val="fr-BE"/>
        </w:rPr>
        <w:t>RUBRIQUE 3: Composition/informations sur les composants</w:t>
      </w:r>
    </w:p>
    <w:p>
      <w:pPr>
        <w:pStyle w:val="SDSTextHeading2"/>
        <w:rPr>
          <w:lang w:val="en-GB"/>
        </w:rPr>
      </w:pPr>
      <w:r>
        <w:rPr>
          <w:lang w:val="en-GB"/>
        </w:rPr>
        <w:t>3.1. Substances</w:t>
      </w:r>
    </w:p>
    <w:p>
      <w:pPr>
        <w:pStyle w:val="SDSTextNormal"/>
        <w:rPr/>
      </w:pPr>
      <w:r>
        <w:rPr/>
        <w:t>Non applicable</w:t>
      </w:r>
    </w:p>
    <w:p>
      <w:pPr>
        <w:pStyle w:val="SDSTextHeading2"/>
        <w:rPr>
          <w:lang w:val="en-GB"/>
        </w:rPr>
      </w:pPr>
      <w:r>
        <w:rPr>
          <w:lang w:val="en-GB"/>
        </w:rPr>
        <w:t>3.2. 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2267"/>
        <w:gridCol w:w="1134"/>
        <w:gridCol w:w="3118"/>
      </w:tblGrid>
      <w:tr>
        <w:trPr>
          <w:tblHeader w:val="true"/>
        </w:trPr>
        <w:tc>
          <w:tcPr>
            <w:tcW w:w="3969"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Nom</w:t>
            </w:r>
          </w:p>
        </w:tc>
        <w:tc>
          <w:tcPr>
            <w:tcW w:w="2267"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Identificateur de produit</w:t>
            </w:r>
          </w:p>
        </w:tc>
        <w:tc>
          <w:tcPr>
            <w:tcW w:w="1134" w:type="dxa"/>
            <w:tcBorders/>
            <w:shd w:color="auto" w:fill="BDD6EE" w:themeFill="accent5" w:themeFillTint="66" w:val="clear"/>
          </w:tcPr>
          <w:p>
            <w:pPr>
              <w:pStyle w:val="SDSTableTextHeading1"/>
              <w:widowControl/>
              <w:spacing w:before="0" w:after="0"/>
              <w:jc w:val="left"/>
              <w:rPr>
                <w:lang w:val="fr-BE"/>
              </w:rPr>
            </w:pPr>
            <w:r>
              <w:rPr>
                <w:rFonts w:eastAsia="Times New Roman" w:cs="Arial"/>
                <w:kern w:val="0"/>
                <w:szCs w:val="16"/>
                <w:lang w:val="fr-BE" w:bidi="ar-SA"/>
              </w:rPr>
              <w:t>%</w:t>
            </w:r>
          </w:p>
        </w:tc>
        <w:tc>
          <w:tcPr>
            <w:tcW w:w="3118"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Classification selon le règlement (CE) N° 1272/2008 [CLP]</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ISO E SUPER</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54464-57-2</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259-174-3</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01-2119489989-04-XXXX</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0,988</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Irrit. 2, H315</w:t>
              <w:br/>
              <w:t>Skin Sens. 1B, H317</w:t>
              <w:br/>
              <w:t>Aquatic Chronic 2, H411</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ISOBORNYL  CYCLOHEXANOL</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3407-42-9</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222-294-1</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01-2119979583-21</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0,26</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Acute 1, H400</w:t>
              <w:br/>
              <w:t>Aquatic Chronic 2, H411</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GALAXOLIDE</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1222-05-5</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214-946-9</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Index: 603-212-00-7</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0,234</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Acute 1, H400</w:t>
              <w:br/>
              <w:t>Aquatic Chronic 1, H410</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TRIMOFIX O</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28371-99-5</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248-995-2</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01-0000020172-83-0000, 01-2119430466-41</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0,156</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Acute 1, H400</w:t>
              <w:br/>
              <w:t>Aquatic Chronic 1, H410</w:t>
              <w:br/>
              <w:t>Skin Sens. 1B, H317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SALICYLATE CIS 3 HEXENYL</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65405-77-8</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265-745-8</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01-2119987320-37</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0,1196</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Acute 1, H400</w:t>
              <w:br/>
              <w:t>Aquatic Chronic 2, H411</w:t>
            </w:r>
          </w:p>
        </w:tc>
      </w:tr>
    </w:tbl>
    <w:p>
      <w:pPr>
        <w:pStyle w:val="SDSTextNormal"/>
        <w:rPr/>
      </w:pPr>
      <w:r>
        <w:rPr/>
        <w:t>Texte intégral des mentions H et EUH : voir rubrique 16</w:t>
      </w:r>
    </w:p>
    <w:p>
      <w:pPr>
        <w:pStyle w:val="SDSTextHeading1"/>
        <w:rPr>
          <w:lang w:val="fr-BE"/>
        </w:rPr>
      </w:pPr>
      <w:r>
        <w:rPr>
          <w:lang w:val="fr-BE"/>
        </w:rPr>
        <w:t>RUBRIQUE 4: Premiers secours</w:t>
      </w:r>
    </w:p>
    <w:p>
      <w:pPr>
        <w:pStyle w:val="SDSTextHeading2"/>
        <w:rPr>
          <w:lang w:val="fr-BE"/>
        </w:rPr>
      </w:pPr>
      <w:r>
        <w:rPr>
          <w:lang w:val="fr-BE"/>
        </w:rPr>
        <w:t>4.1. 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général</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jamais administrer quelque chose par la bouche à une personne inconsciente. En cas de malaise consulter un médecin (si possible lui montrer l’étiquette).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inhalation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Permettre au sujet de respirer de l’air frais. Mettre la victime au repos.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contact avec la peau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Oter les vêtements touchés et laver les parties exposées de la peau au moyen d’un savon doux et d’eau, puis rincer à l’eau chaude.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contact oculaire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Rincer immédiatement et abondamment à l’eau. Consulter un médecin si la douleur ou la rougeur persistent.</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ingestion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Rincer la bouche. NE PAS faire vomir. Consulter d’urgence un médecin.</w:t>
            </w:r>
          </w:p>
        </w:tc>
      </w:tr>
    </w:tbl>
    <w:p>
      <w:pPr>
        <w:pStyle w:val="SDSTextHeading2"/>
        <w:rPr>
          <w:lang w:val="en-GB"/>
        </w:rPr>
      </w:pPr>
      <w:r>
        <w:rPr>
          <w:lang w:val="en-GB"/>
        </w:rPr>
        <w:t>4.2. 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Symptômes/effets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considéré comme dangereux dans des conditions normales d’utilisation.</w:t>
            </w:r>
          </w:p>
        </w:tc>
      </w:tr>
    </w:tbl>
    <w:p>
      <w:pPr>
        <w:pStyle w:val="SDSTextHeading2"/>
        <w:rPr>
          <w:lang w:val="en-GB"/>
        </w:rPr>
      </w:pPr>
      <w:r>
        <w:rPr>
          <w:lang w:val="en-GB"/>
        </w:rPr>
        <w:t>4.3. Indication des éventuels soins médicaux immédiats et traitements particuliers nécessaires</w:t>
      </w:r>
    </w:p>
    <w:p>
      <w:pPr>
        <w:pStyle w:val="SDSTextNormal"/>
        <w:bidi w:val="0"/>
        <w:rPr/>
      </w:pPr>
      <w:r>
        <w:rPr/>
        <w:t>Pas d’informations complémentaires disponibles</w:t>
      </w:r>
    </w:p>
    <w:p>
      <w:pPr>
        <w:pStyle w:val="SDSTextHeading1"/>
        <w:rPr>
          <w:lang w:val="fr-BE"/>
        </w:rPr>
      </w:pPr>
      <w:r>
        <w:rPr>
          <w:lang w:val="fr-BE"/>
        </w:rPr>
        <w:t>RUBRIQUE 5: Mesures de lutte contre l’incendie</w:t>
      </w:r>
    </w:p>
    <w:p>
      <w:pPr>
        <w:pStyle w:val="SDSTextHeading2"/>
        <w:rPr>
          <w:lang w:val="fr-BE"/>
        </w:rPr>
      </w:pPr>
      <w:r>
        <w:rPr>
          <w:lang w:val="fr-BE"/>
        </w:rPr>
        <w:t>5.1. 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Moyens d’extinction appropriés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Mousse. Poudre sèche. Dioxyde de carbone. Eau pulvérisée. Sable.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Agents d’extinction non appropriés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pas utiliser un fort courant d’eau.</w:t>
            </w:r>
          </w:p>
        </w:tc>
      </w:tr>
    </w:tbl>
    <w:p>
      <w:pPr>
        <w:pStyle w:val="SDSTextHeading2"/>
        <w:rPr>
          <w:lang w:val="en-GB"/>
        </w:rPr>
      </w:pPr>
      <w:r>
        <w:rPr>
          <w:lang w:val="en-GB"/>
        </w:rPr>
        <w:t>5.2. Dangers particuliers résultant de la substance ou du mélange</w:t>
      </w:r>
    </w:p>
    <w:p>
      <w:pPr>
        <w:pStyle w:val="SDSTextNormal"/>
        <w:bidi w:val="0"/>
        <w:rPr/>
      </w:pPr>
      <w:r>
        <w:rPr/>
        <w:t>Pas d’informations complémentaires disponibles</w:t>
      </w:r>
    </w:p>
    <w:p>
      <w:pPr>
        <w:pStyle w:val="SDSTextHeading2"/>
        <w:rPr>
          <w:lang w:val="en-GB"/>
        </w:rPr>
      </w:pPr>
      <w:r>
        <w:rPr>
          <w:lang w:val="en-GB"/>
        </w:rPr>
        <w:t>5.3. 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 lutte contre l’incendie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Protection en cas d’incendie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pas pénétrer dans la zone de feu sans équipement de protection, y compris une protection respiratoire.</w:t>
            </w:r>
          </w:p>
        </w:tc>
      </w:tr>
    </w:tbl>
    <w:p>
      <w:pPr>
        <w:pStyle w:val="SDSTextHeading1"/>
        <w:rPr>
          <w:lang w:val="fr-BE"/>
        </w:rPr>
      </w:pPr>
      <w:r>
        <w:rPr>
          <w:lang w:val="fr-BE"/>
        </w:rPr>
        <w:t>RUBRIQUE 6: Mesures à prendre en cas de dispersion accidentelle</w:t>
      </w:r>
    </w:p>
    <w:p>
      <w:pPr>
        <w:pStyle w:val="SDSTextHeading2"/>
        <w:rPr>
          <w:lang w:val="fr-BE"/>
        </w:rPr>
      </w:pPr>
      <w:r>
        <w:rPr>
          <w:lang w:val="fr-BE"/>
        </w:rPr>
        <w:t>6.1. Précautions individuelles, équipement de protection et procédures d’urgence</w:t>
      </w:r>
    </w:p>
    <w:p>
      <w:pPr>
        <w:pStyle w:val="SDSTextHeading3"/>
        <w:rPr/>
      </w:pPr>
      <w:r>
        <w:rPr/>
        <w:t>6.1.1. 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Procédures d’urgence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Eloigner le personnel superflu.</w:t>
            </w:r>
          </w:p>
        </w:tc>
      </w:tr>
    </w:tbl>
    <w:p>
      <w:pPr>
        <w:pStyle w:val="SDSTextHeading3"/>
        <w:rPr/>
      </w:pPr>
      <w:r>
        <w:rPr/>
        <w:t>6.1.2. 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Equipement de protection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Fournir une protection adéquate aux équipes de nettoyage.</w:t>
            </w:r>
          </w:p>
        </w:tc>
      </w:tr>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Procédures d’urgence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Aérer la zone.</w:t>
            </w:r>
          </w:p>
        </w:tc>
      </w:tr>
    </w:tbl>
    <w:p>
      <w:pPr>
        <w:pStyle w:val="SDSTextHeading2"/>
        <w:rPr>
          <w:lang w:val="en-GB"/>
        </w:rPr>
      </w:pPr>
      <w:r>
        <w:rPr>
          <w:lang w:val="en-GB"/>
        </w:rPr>
        <w:t>6.2. Précautions pour la protection de l’environnement</w:t>
      </w:r>
    </w:p>
    <w:p>
      <w:pPr>
        <w:pStyle w:val="SDSTextNormal"/>
        <w:rPr/>
      </w:pPr>
      <w:r>
        <w:rPr/>
        <w:t>Eviter la pénétration dans les égouts et les eaux potables. Avertir les autorités si le liquide pénètre dans les égouts ou dans les eaux du domaine public. Éviter le rejet dans l'environnement.</w:t>
      </w:r>
    </w:p>
    <w:p>
      <w:pPr>
        <w:pStyle w:val="SDSTextHeading2"/>
        <w:rPr>
          <w:lang w:val="en-GB"/>
        </w:rPr>
      </w:pPr>
      <w:r>
        <w:rPr>
          <w:lang w:val="en-GB"/>
        </w:rPr>
        <w:t>6.3. 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Procédés de nettoyage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Sur le sol, balayer ou pelleter dans des conteneurs de rejet adéquats. Réduire à un minimum la production de poussières. Stocker à l’écart des autres matières.</w:t>
            </w:r>
          </w:p>
        </w:tc>
      </w:tr>
    </w:tbl>
    <w:p>
      <w:pPr>
        <w:pStyle w:val="SDSTextHeading2"/>
        <w:rPr>
          <w:lang w:val="en-GB"/>
        </w:rPr>
      </w:pPr>
      <w:r>
        <w:rPr>
          <w:lang w:val="en-GB"/>
        </w:rPr>
        <w:t>6.4. Référence à d’autres rubriques</w:t>
      </w:r>
    </w:p>
    <w:p>
      <w:pPr>
        <w:pStyle w:val="SDSTextNormal"/>
        <w:rPr>
          <w:lang w:val="fr-BE"/>
        </w:rPr>
      </w:pPr>
      <w:r>
        <w:rPr>
          <w:lang w:val="fr-BE"/>
        </w:rPr>
        <w:t>Voir rubrique 8. Contrôle de l’exposition/protection individuelle.</w:t>
      </w:r>
    </w:p>
    <w:p>
      <w:pPr>
        <w:pStyle w:val="SDSTextHeading1"/>
        <w:rPr>
          <w:lang w:val="fr-BE"/>
        </w:rPr>
      </w:pPr>
      <w:r>
        <w:rPr>
          <w:lang w:val="fr-BE"/>
        </w:rPr>
        <w:t>RUBRIQUE 7: Manipulation et stockage</w:t>
      </w:r>
    </w:p>
    <w:p>
      <w:pPr>
        <w:pStyle w:val="SDSTextHeading2"/>
        <w:rPr>
          <w:lang w:val="fr-BE"/>
        </w:rPr>
      </w:pPr>
      <w:r>
        <w:rPr>
          <w:lang w:val="fr-BE"/>
        </w:rPr>
        <w:t>7.1. 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Précautions à prendre pour une manipulation sans danger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lang w:val="en-GB"/>
        </w:rPr>
      </w:pPr>
      <w:r>
        <w:rPr>
          <w:lang w:val="en-GB"/>
        </w:rPr>
        <w:t>7.2. 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Conditions de stockage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Conserver uniquement dans le récipient d’origine dans un endroit frais et bien ventilé à l’écart des : Garder les conteneurs fermés en dehors de leur utilisation.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Produits incompatibles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Bases fortes. Acides forts.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Matières incompatibles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Sources d’inflammation. Rayons directs du soleil.</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Durée de stockage maximale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6 mois</w:t>
            </w:r>
          </w:p>
        </w:tc>
      </w:tr>
    </w:tbl>
    <w:p>
      <w:pPr>
        <w:pStyle w:val="SDSTextHeading2"/>
        <w:rPr>
          <w:lang w:val="en-GB"/>
        </w:rPr>
      </w:pPr>
      <w:r>
        <w:rPr>
          <w:lang w:val="en-GB"/>
        </w:rPr>
        <w:t>7.3. Utilisation(s) finale(s) particulière(s)</w:t>
      </w:r>
    </w:p>
    <w:p>
      <w:pPr>
        <w:pStyle w:val="SDSTextNormal"/>
        <w:bidi w:val="0"/>
        <w:rPr/>
      </w:pPr>
      <w:r>
        <w:rPr/>
        <w:t>Pas d’informations complémentaires disponibles</w:t>
      </w:r>
    </w:p>
    <w:p>
      <w:pPr>
        <w:pStyle w:val="SDSTextHeading1"/>
        <w:rPr>
          <w:lang w:val="fr-BE"/>
        </w:rPr>
      </w:pPr>
      <w:r>
        <w:rPr>
          <w:lang w:val="fr-BE"/>
        </w:rPr>
        <w:t>RUBRIQUE 8: Contrôles de l’exposition/protection individuelle</w:t>
      </w:r>
    </w:p>
    <w:p>
      <w:pPr>
        <w:pStyle w:val="SDSTextHeading2"/>
        <w:rPr>
          <w:lang w:val="fr-BE"/>
        </w:rPr>
      </w:pPr>
      <w:r>
        <w:rPr>
          <w:lang w:val="fr-BE"/>
        </w:rPr>
        <w:t>8.1. Paramètres de contrôle</w:t>
      </w:r>
    </w:p>
    <w:p>
      <w:pPr>
        <w:pStyle w:val="SDSTextHeading3"/>
        <w:rPr/>
      </w:pPr>
      <w:r>
        <w:rPr/>
        <w:t xml:space="preserve">8.1.1 </w:t>
      </w:r>
      <w:bookmarkStart w:id="1" w:name="_Hlk54076387"/>
      <w:r>
        <w:rPr/>
        <w:t>Valeurs limites nationales d’exposition professionnelle et biologiques</w:t>
      </w:r>
      <w:bookmarkEnd w:id="1"/>
    </w:p>
    <w:p>
      <w:pPr>
        <w:pStyle w:val="SDSTextNormal"/>
        <w:bidi w:val="0"/>
        <w:rPr/>
      </w:pPr>
      <w:r>
        <w:rPr/>
        <w:t>Pas d’informations complémentaires disponibles</w:t>
      </w:r>
    </w:p>
    <w:p>
      <w:pPr>
        <w:pStyle w:val="SDSTextHeading3"/>
        <w:rPr/>
      </w:pPr>
      <w:r>
        <w:rPr/>
        <w:t xml:space="preserve">8.1.2. </w:t>
      </w:r>
      <w:bookmarkStart w:id="2" w:name="_Hlk54076527"/>
      <w:r>
        <w:rPr/>
        <w:t>Procédures de suivi recommandées</w:t>
      </w:r>
      <w:bookmarkEnd w:id="2"/>
    </w:p>
    <w:p>
      <w:pPr>
        <w:pStyle w:val="SDSTextNormal"/>
        <w:bidi w:val="0"/>
        <w:rPr/>
      </w:pPr>
      <w:r>
        <w:rPr/>
        <w:t>Pas d’informations complémentaires disponibles</w:t>
      </w:r>
    </w:p>
    <w:p>
      <w:pPr>
        <w:pStyle w:val="SDSTextHeading3"/>
        <w:rPr/>
      </w:pPr>
      <w:r>
        <w:rPr/>
        <w:t xml:space="preserve">8.1.3. </w:t>
      </w:r>
      <w:bookmarkStart w:id="3" w:name="_Hlk54076613"/>
      <w:r>
        <w:rPr/>
        <w:t>Contaminants atmosphériques formés</w:t>
      </w:r>
      <w:bookmarkEnd w:id="3"/>
    </w:p>
    <w:p>
      <w:pPr>
        <w:pStyle w:val="SDSTextNormal"/>
        <w:bidi w:val="0"/>
        <w:rPr/>
      </w:pPr>
      <w:r>
        <w:rPr/>
        <w:t>Pas d’informations complémentaires disponibles</w:t>
      </w:r>
    </w:p>
    <w:p>
      <w:pPr>
        <w:pStyle w:val="SDSTextHeading3"/>
        <w:rPr/>
      </w:pPr>
      <w:r>
        <w:rPr/>
        <w:t xml:space="preserve">8.1.4. </w:t>
      </w:r>
      <w:bookmarkStart w:id="4" w:name="_Hlk54076910"/>
      <w:r>
        <w:rPr/>
        <w:t>DNEL et PNEC</w:t>
      </w:r>
      <w:bookmarkEnd w:id="4"/>
    </w:p>
    <w:p>
      <w:pPr>
        <w:pStyle w:val="SDSTextNormal"/>
        <w:bidi w:val="0"/>
        <w:rPr/>
      </w:pPr>
      <w:r>
        <w:rPr/>
        <w:t>Pas d’informations complémentaires disponibles</w:t>
      </w:r>
    </w:p>
    <w:p>
      <w:pPr>
        <w:pStyle w:val="SDSTextHeading3"/>
        <w:rPr/>
      </w:pPr>
      <w:r>
        <w:rPr/>
        <w:t xml:space="preserve">8.1.5. </w:t>
      </w:r>
      <w:bookmarkStart w:id="5" w:name="_Hlk54076968"/>
      <w:r>
        <w:rPr/>
        <w:t>Bande de contrôle</w:t>
      </w:r>
      <w:bookmarkEnd w:id="5"/>
    </w:p>
    <w:p>
      <w:pPr>
        <w:pStyle w:val="SDSTextNormal"/>
        <w:bidi w:val="0"/>
        <w:rPr/>
      </w:pPr>
      <w:r>
        <w:rPr/>
        <w:t>Pas d’informations complémentaires disponibles</w:t>
      </w:r>
    </w:p>
    <w:p>
      <w:pPr>
        <w:pStyle w:val="SDSTextHeading2"/>
        <w:rPr>
          <w:lang w:val="fr-BE"/>
        </w:rPr>
      </w:pPr>
      <w:r>
        <w:rPr>
          <w:lang w:val="fr-BE"/>
        </w:rPr>
        <w:t>8.2. Contrôles de l’exposition</w:t>
      </w:r>
    </w:p>
    <w:p>
      <w:pPr>
        <w:pStyle w:val="SDSTextHeading3"/>
        <w:rPr>
          <w:lang w:val="fr-BE"/>
        </w:rPr>
      </w:pPr>
      <w:r>
        <w:rPr>
          <w:lang w:val="fr-BE"/>
        </w:rPr>
        <w:t>8.2.1. Contrôles techniques appropriés</w:t>
      </w:r>
    </w:p>
    <w:p>
      <w:pPr>
        <w:pStyle w:val="SDSTextNormal"/>
        <w:bidi w:val="0"/>
        <w:rPr/>
      </w:pPr>
      <w:r>
        <w:rPr/>
        <w:t>Pas d’informations complémentaires disponibles</w:t>
      </w:r>
    </w:p>
    <w:p>
      <w:pPr>
        <w:pStyle w:val="SDSTextBlankLine"/>
        <w:rPr/>
      </w:pPr>
      <w:r>
        <w:rPr/>
      </w:r>
    </w:p>
    <w:p>
      <w:pPr>
        <w:pStyle w:val="SDSTextHeading3"/>
        <w:rPr/>
      </w:pPr>
      <w:r>
        <w:rPr/>
        <w:t>8.2.2. 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Equipement de protection individuelle:</w:t>
            </w:r>
          </w:p>
        </w:tc>
      </w:tr>
      <w:tr>
        <w:trPr/>
        <w:tc>
          <w:tcPr>
            <w:tcW w:w="1048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Eviter toute exposition inutile.</w:t>
            </w:r>
          </w:p>
        </w:tc>
      </w:tr>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Symbole(s) de l’équipement de protection individuelle:</w:t>
            </w:r>
          </w:p>
        </w:tc>
      </w:tr>
      <w:tr>
        <w:trPr/>
        <w:tc>
          <w:tcPr>
            <w:tcW w:w="10488" w:type="dxa"/>
            <w:tcBorders/>
            <w:shd w:color="auto" w:fill="auto" w:val="clear"/>
          </w:tcPr>
          <w:p>
            <w:pPr>
              <w:pStyle w:val="SDSTableTextNormal"/>
              <w:widowControl/>
              <w:spacing w:before="0" w:after="0"/>
              <w:jc w:val="left"/>
              <w:rPr>
                <w:b/>
                <w:b/>
                <w:bCs/>
              </w:rPr>
            </w:pPr>
            <w:r>
              <w:rPr>
                <w:rFonts w:eastAsia="Times New Roman" w:cs="Arial"/>
                <w:kern w:val="0"/>
                <w:sz w:val="16"/>
                <w:lang w:val="en-GB" w:bidi="ar-SA"/>
              </w:rPr>
              <w:drawing>
                <wp:inline distT="0" distB="0" distL="114935" distR="114935">
                  <wp:extent cx="635000" cy="635000"/>
                  <wp:effectExtent l="0" t="0" r="0" b="0"/>
                  <wp:docPr id="1" name="Image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Lunettes anti-éclaboussures ou lunettes de sécurité"/>
                          <pic:cNvPicPr>
                            <a:picLocks noChangeAspect="1" noChangeArrowheads="1"/>
                          </pic:cNvPicPr>
                        </pic:nvPicPr>
                        <pic:blipFill>
                          <a:blip r:embed="rId4"/>
                          <a:stretch>
                            <a:fillRect/>
                          </a:stretch>
                        </pic:blipFill>
                        <pic:spPr bwMode="auto">
                          <a:xfrm>
                            <a:off x="0" y="0"/>
                            <a:ext cx="635000" cy="635000"/>
                          </a:xfrm>
                          <a:prstGeom prst="rect">
                            <a:avLst/>
                          </a:prstGeom>
                        </pic:spPr>
                      </pic:pic>
                    </a:graphicData>
                  </a:graphic>
                </wp:inline>
              </w:drawing>
            </w:r>
          </w:p>
        </w:tc>
      </w:tr>
    </w:tbl>
    <w:p>
      <w:pPr>
        <w:pStyle w:val="SDSTextBlankLine"/>
        <w:rPr/>
      </w:pPr>
      <w:r>
        <w:rPr/>
      </w:r>
    </w:p>
    <w:p>
      <w:pPr>
        <w:pStyle w:val="SDSTextHeading4"/>
        <w:rPr/>
      </w:pPr>
      <w:r>
        <w:rPr/>
        <w:t>8.2.2.1. 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oculaire:</w:t>
            </w:r>
          </w:p>
        </w:tc>
      </w:tr>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Lunettes anti-éclaboussures ou lunettes de sécurité</w:t>
            </w:r>
          </w:p>
        </w:tc>
      </w:tr>
    </w:tbl>
    <w:p>
      <w:pPr>
        <w:pStyle w:val="SDSTextBlankLine"/>
        <w:rPr/>
      </w:pPr>
      <w:r>
        <w:rPr/>
      </w:r>
    </w:p>
    <w:p>
      <w:pPr>
        <w:pStyle w:val="SDSTextHeading4"/>
        <w:rPr/>
      </w:pPr>
      <w:r>
        <w:rPr/>
        <w:t>8.2.2.2. 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des mains:</w:t>
            </w:r>
          </w:p>
        </w:tc>
      </w:tr>
      <w:tr>
        <w:trPr/>
        <w:tc>
          <w:tcPr>
            <w:tcW w:w="1048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Porter des gants de protection.</w:t>
            </w:r>
          </w:p>
        </w:tc>
      </w:tr>
    </w:tbl>
    <w:p>
      <w:pPr>
        <w:pStyle w:val="SDSTextBlankLine"/>
        <w:rPr/>
      </w:pPr>
      <w:r>
        <w:rPr/>
      </w:r>
    </w:p>
    <w:p>
      <w:pPr>
        <w:pStyle w:val="SDSTextHeading4"/>
        <w:rPr/>
      </w:pPr>
      <w:r>
        <w:rPr/>
        <w:t>8.2.2.3. 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respiratoire:</w:t>
            </w:r>
          </w:p>
        </w:tc>
      </w:tr>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Porter un masque approprié</w:t>
            </w:r>
          </w:p>
        </w:tc>
      </w:tr>
    </w:tbl>
    <w:p>
      <w:pPr>
        <w:pStyle w:val="SDSTextBlankLine"/>
        <w:rPr/>
      </w:pPr>
      <w:r>
        <w:rPr/>
      </w:r>
    </w:p>
    <w:p>
      <w:pPr>
        <w:pStyle w:val="SDSTextHeading4"/>
        <w:rPr/>
      </w:pPr>
      <w:r>
        <w:rPr/>
        <w:t>8.2.2.4. Protection contre les risques thermiques</w:t>
      </w:r>
    </w:p>
    <w:p>
      <w:pPr>
        <w:pStyle w:val="SDSTextNormal"/>
        <w:bidi w:val="0"/>
        <w:rPr/>
      </w:pPr>
      <w:r>
        <w:rPr/>
        <w:t>Pas d’informations complémentaires disponibles</w:t>
      </w:r>
    </w:p>
    <w:p>
      <w:pPr>
        <w:pStyle w:val="SDSTextBlankLine"/>
        <w:rPr/>
      </w:pPr>
      <w:r>
        <w:rPr/>
      </w:r>
    </w:p>
    <w:p>
      <w:pPr>
        <w:pStyle w:val="SDSTextHeading3"/>
        <w:rPr/>
      </w:pPr>
      <w:r>
        <w:rPr/>
        <w:t>8.2.3. 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r>
      <w:tr>
        <w:trPr/>
        <w:tc>
          <w:tcPr>
            <w:tcW w:w="10488"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Ne pas manger, ne pas boire et ne pas fumer pendant l’utilisation.</w:t>
            </w:r>
          </w:p>
        </w:tc>
      </w:tr>
    </w:tbl>
    <w:p>
      <w:pPr>
        <w:pStyle w:val="SDSTextHeading1"/>
        <w:rPr>
          <w:lang w:val="fr-BE"/>
        </w:rPr>
      </w:pPr>
      <w:r>
        <w:rPr>
          <w:lang w:val="fr-BE"/>
        </w:rPr>
        <w:t>RUBRIQUE 9: Propriétés physiques et chimiques</w:t>
      </w:r>
    </w:p>
    <w:p>
      <w:pPr>
        <w:pStyle w:val="SDSTextHeading2"/>
        <w:rPr>
          <w:lang w:val="fr-BE"/>
        </w:rPr>
      </w:pPr>
      <w:r>
        <w:rPr>
          <w:lang w:val="fr-BE"/>
        </w:rPr>
        <w:t>9.1. 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État physique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Solide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Couleur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déterminé.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Odeur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Floral.</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Seuil olfactif</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de fusion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de congélation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d’ébullition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Inflammabilité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Ininflammable.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Limite inférieure d’explosion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Limite supérieure d’explosion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d’éclair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&gt; 150 °C</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Température d’auto-inflammation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Température de décomposition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 solution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Viscosité, cinématique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Solubilité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Coefficient de partage n-octanol/eau (Log Kow)</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Pression de vapeur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Pression de vapeur à 50°C</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Masse volumique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Densité relative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r>
        <w:trPr/>
        <w:tc>
          <w:tcPr>
            <w:tcW w:w="3685"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Densité relative de vapeur à 20°C</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Taille d’une particule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bl>
    <w:p>
      <w:pPr>
        <w:pStyle w:val="SDSTextHeading2"/>
        <w:rPr>
          <w:lang w:val="en-GB"/>
        </w:rPr>
      </w:pPr>
      <w:r>
        <w:rPr>
          <w:lang w:val="en-GB"/>
        </w:rPr>
        <w:t>9.2. Autres informations</w:t>
      </w:r>
    </w:p>
    <w:p>
      <w:pPr>
        <w:pStyle w:val="SDSTextHeading3"/>
        <w:rPr/>
      </w:pPr>
      <w:r>
        <w:rPr/>
        <w:t xml:space="preserve">9.2.1. </w:t>
      </w:r>
      <w:bookmarkStart w:id="6" w:name="_Hlk54084650"/>
      <w:r>
        <w:rPr/>
        <w:t>Informations concernant les classes de danger physique</w:t>
      </w:r>
      <w:bookmarkEnd w:id="6"/>
    </w:p>
    <w:p>
      <w:pPr>
        <w:pStyle w:val="SDSTextNormal"/>
        <w:bidi w:val="0"/>
        <w:rPr/>
      </w:pPr>
      <w:r>
        <w:rPr/>
        <w:t>Pas d’informations complémentaires disponibles</w:t>
      </w:r>
    </w:p>
    <w:p>
      <w:pPr>
        <w:pStyle w:val="SDSTextHeading3"/>
        <w:rPr/>
      </w:pPr>
      <w:r>
        <w:rPr/>
        <w:t>9.2.2. 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Indice de réfraction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bl>
    <w:p>
      <w:pPr>
        <w:pStyle w:val="SDSTextHeading1"/>
        <w:rPr>
          <w:lang w:val="fr-BE"/>
        </w:rPr>
      </w:pPr>
      <w:r>
        <w:rPr>
          <w:lang w:val="fr-BE"/>
        </w:rPr>
        <w:t>RUBRIQUE 10: Stabilité et réactivité</w:t>
      </w:r>
    </w:p>
    <w:p>
      <w:pPr>
        <w:pStyle w:val="SDSTextHeading2"/>
        <w:rPr>
          <w:lang w:val="fr-BE"/>
        </w:rPr>
      </w:pPr>
      <w:r>
        <w:rPr>
          <w:lang w:val="fr-BE"/>
        </w:rPr>
        <w:t>10.1. Réactivité</w:t>
      </w:r>
    </w:p>
    <w:p>
      <w:pPr>
        <w:pStyle w:val="SDSTextNormal"/>
        <w:bidi w:val="0"/>
        <w:rPr/>
      </w:pPr>
      <w:r>
        <w:rPr/>
        <w:t>Pas d’informations complémentaires disponibles</w:t>
      </w:r>
    </w:p>
    <w:p>
      <w:pPr>
        <w:pStyle w:val="SDSTextHeading2"/>
        <w:rPr>
          <w:lang w:val="en-GB"/>
        </w:rPr>
      </w:pPr>
      <w:r>
        <w:rPr>
          <w:lang w:val="en-GB"/>
        </w:rPr>
        <w:t>10.2. Stabilité chimique</w:t>
      </w:r>
    </w:p>
    <w:p>
      <w:pPr>
        <w:pStyle w:val="SDSTextNormal"/>
        <w:rPr/>
      </w:pPr>
      <w:r>
        <w:rPr/>
        <w:t>Non établi.</w:t>
      </w:r>
    </w:p>
    <w:p>
      <w:pPr>
        <w:pStyle w:val="SDSTextHeading2"/>
        <w:rPr>
          <w:lang w:val="en-GB"/>
        </w:rPr>
      </w:pPr>
      <w:r>
        <w:rPr>
          <w:lang w:val="en-GB"/>
        </w:rPr>
        <w:t>10.3. Possibilité de réactions dangereuses</w:t>
      </w:r>
    </w:p>
    <w:p>
      <w:pPr>
        <w:pStyle w:val="SDSTextNormal"/>
        <w:rPr/>
      </w:pPr>
      <w:r>
        <w:rPr/>
        <w:t>Non établi.</w:t>
      </w:r>
    </w:p>
    <w:p>
      <w:pPr>
        <w:pStyle w:val="SDSTextHeading2"/>
        <w:rPr>
          <w:lang w:val="en-GB"/>
        </w:rPr>
      </w:pPr>
      <w:r>
        <w:rPr>
          <w:lang w:val="en-GB"/>
        </w:rPr>
        <w:t>10.4. Conditions à éviter</w:t>
      </w:r>
    </w:p>
    <w:p>
      <w:pPr>
        <w:pStyle w:val="SDSTextNormal"/>
        <w:rPr/>
      </w:pPr>
      <w:r>
        <w:rPr/>
        <w:t>Rayons directs du soleil. Températures extrêmement élevées ou extrêmement basses.</w:t>
      </w:r>
    </w:p>
    <w:p>
      <w:pPr>
        <w:pStyle w:val="SDSTextHeading2"/>
        <w:rPr>
          <w:lang w:val="en-GB"/>
        </w:rPr>
      </w:pPr>
      <w:r>
        <w:rPr>
          <w:lang w:val="en-GB"/>
        </w:rPr>
        <w:t>10.5. Matières incompatibles</w:t>
      </w:r>
    </w:p>
    <w:p>
      <w:pPr>
        <w:pStyle w:val="SDSTextNormal"/>
        <w:rPr/>
      </w:pPr>
      <w:r>
        <w:rPr/>
        <w:t>Acides forts. Bases fortes.</w:t>
      </w:r>
    </w:p>
    <w:p>
      <w:pPr>
        <w:pStyle w:val="SDSTextHeading2"/>
        <w:rPr>
          <w:lang w:val="en-GB"/>
        </w:rPr>
      </w:pPr>
      <w:r>
        <w:rPr>
          <w:lang w:val="en-GB"/>
        </w:rPr>
        <w:t>10.6. Produits de décomposition dangereux</w:t>
      </w:r>
    </w:p>
    <w:p>
      <w:pPr>
        <w:pStyle w:val="SDSTextNormal"/>
        <w:rPr/>
      </w:pPr>
      <w:r>
        <w:rPr/>
        <w:t>fumée. Monoxyde de carbone. Dioxyde de carbone.</w:t>
      </w:r>
    </w:p>
    <w:p>
      <w:pPr>
        <w:pStyle w:val="SDSTextHeading1"/>
        <w:rPr>
          <w:lang w:val="en-GB"/>
        </w:rPr>
      </w:pPr>
      <w:r>
        <w:rPr>
          <w:lang w:val="en-GB"/>
        </w:rPr>
        <w:t>RUBRIQUE 11: Informations toxicologiques</w:t>
      </w:r>
    </w:p>
    <w:p>
      <w:pPr>
        <w:pStyle w:val="SDSTextHeading2"/>
        <w:rPr>
          <w:lang w:val="en-GB"/>
        </w:rPr>
      </w:pPr>
      <w:r>
        <w:rPr>
          <w:lang w:val="en-GB"/>
        </w:rPr>
        <w:t>11.1. 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(orale)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(Inhalation)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SALICYLATE CIS 3 HEXENYL (65405-77-8)</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DL50 orale</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2500 mg/kg de poids corporel</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Corrosion cutanée/irritation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Lésions oculaires graves/irritation oculaire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Sensibilisation respiratoire ou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Compte tenu des données disponibles, les critères de classification ne sont pas remplis</w:t>
            </w:r>
          </w:p>
        </w:tc>
      </w:tr>
    </w:tbl>
    <w:p>
      <w:pPr>
        <w:pStyle w:val="SDSTextBlankLine"/>
        <w:rPr>
          <w:lang w:val="es-AR"/>
        </w:rPr>
      </w:pPr>
      <w:r>
        <w:rPr>
          <w:lang w:val="es-A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Mutagénicité sur les cellules germinales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Cancérogénicité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Compte tenu des données disponibles, les critères de classification ne sont pas remplis </w:t>
            </w:r>
          </w:p>
        </w:tc>
      </w:tr>
    </w:tbl>
    <w:p>
      <w:pPr>
        <w:pStyle w:val="SDSTextBlankLine"/>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pour la reproduction</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spécifique pour certains organes cibles (STOT) (exposition unique)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spécifique pour certains organes cibles (STOT) (exposition répétée)</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 par aspiration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Heading2"/>
        <w:rPr>
          <w:lang w:val="en-GB"/>
        </w:rPr>
      </w:pPr>
      <w:r>
        <w:rPr>
          <w:lang w:val="en-GB"/>
        </w:rPr>
        <w:t xml:space="preserve">11.2. </w:t>
      </w:r>
      <w:bookmarkStart w:id="7" w:name="_Hlk54089399"/>
      <w:r>
        <w:rPr>
          <w:lang w:val="en-GB"/>
        </w:rPr>
        <w:t>Informations sur les autres dangers</w:t>
      </w:r>
      <w:bookmarkEnd w:id="7"/>
    </w:p>
    <w:p>
      <w:pPr>
        <w:pStyle w:val="SDSTextHeading3"/>
        <w:rPr/>
      </w:pPr>
      <w:r>
        <w:rPr/>
        <w:t>11.2.1. Propriétés perturbant le système endocrinien</w:t>
      </w:r>
    </w:p>
    <w:p>
      <w:pPr>
        <w:pStyle w:val="SDSTextNormal"/>
        <w:bidi w:val="0"/>
        <w:rPr/>
      </w:pPr>
      <w:r>
        <w:rPr/>
        <w:t>Pas d’informations complémentaires disponibles</w:t>
      </w:r>
    </w:p>
    <w:p>
      <w:pPr>
        <w:pStyle w:val="SDSTextHeading3"/>
        <w:rPr>
          <w:rStyle w:val="SDSTextNormalChar"/>
        </w:rPr>
      </w:pPr>
      <w:r>
        <w:rPr/>
        <w:t xml:space="preserve">11.2.2. </w:t>
      </w:r>
      <w:bookmarkStart w:id="8" w:name="_Hlk54089489"/>
      <w:r>
        <w:rPr/>
        <w:t>Autres informations</w:t>
      </w:r>
      <w:bookmarkStart w:id="9" w:name="_Hlk54089553"/>
      <w:bookmarkEnd w:id="8"/>
      <w:bookmarkEnd w:id="9"/>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Effets néfastes potentiels sur la santé humaine et symptômes possibles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tabs>
                <w:tab w:val="clear" w:pos="709"/>
                <w:tab w:val="left" w:pos="4340" w:leader="none"/>
              </w:tabs>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Heading1"/>
        <w:rPr>
          <w:lang w:val="en-GB"/>
        </w:rPr>
      </w:pPr>
      <w:r>
        <w:rPr>
          <w:lang w:val="en-GB"/>
        </w:rPr>
        <w:t>RUBRIQUE 12: Informations écologiques</w:t>
      </w:r>
    </w:p>
    <w:p>
      <w:pPr>
        <w:pStyle w:val="SDSTextHeading2"/>
        <w:rPr>
          <w:lang w:val="en-GB"/>
        </w:rPr>
      </w:pPr>
      <w:r>
        <w:rPr>
          <w:lang w:val="en-GB"/>
        </w:rPr>
        <w:t>12.1. 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Ecologie - eau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Dangers pour le milieu aquatique, à court terme (aiguë)</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Dangers pour le milieu aquatique, à long terme (chronique)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bl>
    <w:p>
      <w:pPr>
        <w:pStyle w:val="SDSTextHeading2"/>
        <w:rPr>
          <w:lang w:val="en-GB"/>
        </w:rPr>
      </w:pPr>
      <w:r>
        <w:rPr>
          <w:lang w:val="en-GB"/>
        </w:rPr>
        <w:t>12.2. 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 xml:space="preserve">FDS 5.2% - Magnolia </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cs="Arial"/>
                <w:kern w:val="0"/>
                <w:sz w:val="16"/>
                <w:lang w:val="en-GB" w:bidi="ar-SA"/>
              </w:rPr>
            </w:pPr>
            <w:r>
              <w:rPr>
                <w:rFonts w:eastAsia="Arial Unicode MS"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GALAXOLIDE (1222-05-5)</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ISO E SUPER (54464-57-2)</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ISOBORNYL  CYCLOHEXANOL (3407-42-9)</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Rapidement dégradable</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SALICYLATE CIS 3 HEXENYL (65405-77-8)</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établi,Peut entraîner des effets néfastes à long terme pour l’environnement.</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TRIMOFIX O (28371-99-5)</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Heading2"/>
        <w:rPr>
          <w:lang w:val="en-GB"/>
        </w:rPr>
      </w:pPr>
      <w:r>
        <w:rPr>
          <w:lang w:val="en-GB"/>
        </w:rPr>
        <w:t>12.3. 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 xml:space="preserve">FDS 5.2% - Magnolia </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GALAXOLIDE (1222-05-5)</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ISO E SUPER (54464-57-2)</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SALICYLATE CIS 3 HEXENYL (65405-77-8)</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TRIMOFIX O (28371-99-5)</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Heading2"/>
        <w:rPr>
          <w:lang w:val="en-GB"/>
        </w:rPr>
      </w:pPr>
      <w:r>
        <w:rPr>
          <w:lang w:val="en-GB"/>
        </w:rPr>
        <w:t>12.4. Mobilité dans le sol</w:t>
      </w:r>
    </w:p>
    <w:p>
      <w:pPr>
        <w:pStyle w:val="SDSTextNormal"/>
        <w:bidi w:val="0"/>
        <w:rPr/>
      </w:pPr>
      <w:r>
        <w:rPr/>
        <w:t>Pas d’informations complémentaires disponibles</w:t>
      </w:r>
    </w:p>
    <w:p>
      <w:pPr>
        <w:pStyle w:val="SDSTextHeading2"/>
        <w:rPr>
          <w:lang w:val="en-GB"/>
        </w:rPr>
      </w:pPr>
      <w:r>
        <w:rPr>
          <w:lang w:val="en-GB"/>
        </w:rPr>
        <w:t>12.5. Résultats des évaluations PBT et vPvB</w:t>
      </w:r>
    </w:p>
    <w:p>
      <w:pPr>
        <w:pStyle w:val="SDSTextNormal"/>
        <w:bidi w:val="0"/>
        <w:rPr/>
      </w:pPr>
      <w:r>
        <w:rPr/>
        <w:t>Pas d’informations complémentaires disponibles</w:t>
      </w:r>
    </w:p>
    <w:p>
      <w:pPr>
        <w:pStyle w:val="SDSTextHeading2"/>
        <w:rPr>
          <w:lang w:val="en-GB"/>
        </w:rPr>
      </w:pPr>
      <w:r>
        <w:rPr>
          <w:lang w:val="en-GB"/>
        </w:rPr>
        <w:t>12.6. Propriétés perturbant le système endocrinien</w:t>
      </w:r>
    </w:p>
    <w:p>
      <w:pPr>
        <w:pStyle w:val="SDSTextNormal"/>
        <w:bidi w:val="0"/>
        <w:rPr/>
      </w:pPr>
      <w:r>
        <w:rPr/>
        <w:t>Pas d’informations complémentaires disponibles</w:t>
      </w:r>
    </w:p>
    <w:p>
      <w:pPr>
        <w:pStyle w:val="SDSTextHeading2"/>
        <w:rPr>
          <w:lang w:val="en-GB"/>
        </w:rPr>
      </w:pPr>
      <w:r>
        <w:rPr>
          <w:lang w:val="en-GB"/>
        </w:rPr>
        <w:t>12.7. 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Éviter le rejet dans l’environnement.</w:t>
            </w:r>
            <w:bookmarkStart w:id="10" w:name="_Hlk54090163"/>
            <w:bookmarkEnd w:id="10"/>
          </w:p>
        </w:tc>
      </w:tr>
    </w:tbl>
    <w:p>
      <w:pPr>
        <w:pStyle w:val="SDSTextHeading1"/>
        <w:rPr>
          <w:lang w:val="fr-BE"/>
        </w:rPr>
      </w:pPr>
      <w:r>
        <w:rPr>
          <w:lang w:val="fr-BE"/>
        </w:rPr>
        <w:t>RUBRIQUE 13: Considérations relatives à l’élimination</w:t>
      </w:r>
    </w:p>
    <w:p>
      <w:pPr>
        <w:pStyle w:val="SDSTextHeading2"/>
        <w:rPr>
          <w:lang w:val="fr-BE"/>
        </w:rPr>
      </w:pPr>
      <w:r>
        <w:rPr>
          <w:lang w:val="fr-BE"/>
        </w:rPr>
        <w:t>13.1. 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Recommandations pour le traitement du produit/emballage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Informations écologiques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Heading1"/>
        <w:rPr>
          <w:lang w:val="en-GB"/>
        </w:rPr>
      </w:pPr>
      <w:r>
        <w:rPr>
          <w:lang w:val="en-GB"/>
        </w:rPr>
        <w:t>RUBRIQUE 14: Informations relatives au transport</w:t>
      </w:r>
    </w:p>
    <w:p>
      <w:pPr>
        <w:pStyle w:val="SDSTextNormal"/>
        <w:rPr/>
      </w:pPr>
      <w:r>
        <w:rPr/>
        <w:t>En conformité avec: ADR / IMDG / IATA / ADN / RID</w:t>
      </w:r>
    </w:p>
    <w:p>
      <w:pPr>
        <w:pStyle w:val="SDSTextHeading2"/>
        <w:rPr>
          <w:lang w:val="en-GB"/>
        </w:rPr>
      </w:pPr>
      <w:r>
        <w:rPr>
          <w:lang w:val="en-GB"/>
        </w:rPr>
        <w:t>14.1. 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extNormal"/>
              <w:widowControl/>
              <w:spacing w:before="0" w:after="0"/>
              <w:jc w:val="left"/>
              <w:rPr>
                <w:lang w:val="pt-BR"/>
              </w:rPr>
            </w:pPr>
            <w:r>
              <w:rPr>
                <w:rFonts w:eastAsia="Times New Roman" w:cs="Arial"/>
                <w:kern w:val="0"/>
                <w:sz w:val="16"/>
                <w:szCs w:val="16"/>
                <w:lang w:val="en-GB" w:bidi="ar-SA"/>
              </w:rPr>
              <w:t>N° ONU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bl>
    <w:p>
      <w:pPr>
        <w:pStyle w:val="SDSTextHeading2"/>
        <w:rPr>
          <w:lang w:val="en-GB"/>
        </w:rPr>
      </w:pPr>
      <w:r>
        <w:rPr>
          <w:lang w:val="en-GB"/>
        </w:rPr>
        <w:t>14.2. 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Environmentally hazardous substance, liquid, n.o.s.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(ISO E SUPER), 9, III,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Environmentally hazardous substance, liquid, n.o.s.,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9, III</w:t>
            </w:r>
          </w:p>
        </w:tc>
      </w:tr>
    </w:tbl>
    <w:p>
      <w:pPr>
        <w:pStyle w:val="SDSTextHeading2"/>
        <w:rPr>
          <w:lang w:val="en-GB"/>
        </w:rPr>
      </w:pPr>
      <w:r>
        <w:rPr>
          <w:lang w:val="en-GB"/>
        </w:rPr>
        <w:t>14.3. 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ADR</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2" name="Image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9"/>
                          <pic:cNvPicPr>
                            <a:picLocks noChangeAspect="1" noChangeArrowheads="1"/>
                          </pic:cNvPicPr>
                        </pic:nvPicPr>
                        <pic:blipFill>
                          <a:blip r:embed="rId5"/>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IMDG</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3" name="Image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9"/>
                          <pic:cNvPicPr>
                            <a:picLocks noChangeAspect="1" noChangeArrowheads="1"/>
                          </pic:cNvPicPr>
                        </pic:nvPicPr>
                        <pic:blipFill>
                          <a:blip r:embed="rId6"/>
                          <a:stretch>
                            <a:fillRect/>
                          </a:stretch>
                        </pic:blipFill>
                        <pic:spPr bwMode="auto">
                          <a:xfrm>
                            <a:off x="0" y="0"/>
                            <a:ext cx="635000" cy="635000"/>
                          </a:xfrm>
                          <a:prstGeom prst="rect">
                            <a:avLst/>
                          </a:prstGeom>
                        </pic:spPr>
                      </pic:pic>
                    </a:graphicData>
                  </a:graphic>
                </wp:inline>
              </w:drawing>
            </w:r>
            <w:r>
              <w:rPr>
                <w:rFonts w:eastAsia="Times New Roman" w:cs="Arial"/>
                <w:kern w:val="0"/>
                <w:sz w:val="16"/>
                <w:lang w:val="en-GB" w:bidi="ar-SA"/>
              </w:rPr>
              <w:t xml:space="preserve"> </w:t>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IATA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4" name="Image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9"/>
                          <pic:cNvPicPr>
                            <a:picLocks noChangeAspect="1" noChangeArrowheads="1"/>
                          </pic:cNvPicPr>
                        </pic:nvPicPr>
                        <pic:blipFill>
                          <a:blip r:embed="rId7"/>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ADN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5" name="Image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9"/>
                          <pic:cNvPicPr>
                            <a:picLocks noChangeAspect="1" noChangeArrowheads="1"/>
                          </pic:cNvPicPr>
                        </pic:nvPicPr>
                        <pic:blipFill>
                          <a:blip r:embed="rId8"/>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RID</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6" name="Image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9"/>
                          <pic:cNvPicPr>
                            <a:picLocks noChangeAspect="1" noChangeArrowheads="1"/>
                          </pic:cNvPicPr>
                        </pic:nvPicPr>
                        <pic:blipFill>
                          <a:blip r:embed="rId9"/>
                          <a:stretch>
                            <a:fillRect/>
                          </a:stretch>
                        </pic:blipFill>
                        <pic:spPr bwMode="auto">
                          <a:xfrm>
                            <a:off x="0" y="0"/>
                            <a:ext cx="635000" cy="635000"/>
                          </a:xfrm>
                          <a:prstGeom prst="rect">
                            <a:avLst/>
                          </a:prstGeom>
                        </pic:spPr>
                      </pic:pic>
                    </a:graphicData>
                  </a:graphic>
                </wp:inline>
              </w:drawing>
            </w:r>
          </w:p>
        </w:tc>
      </w:tr>
    </w:tbl>
    <w:p>
      <w:pPr>
        <w:pStyle w:val="SDSTextHeading2"/>
        <w:rPr>
          <w:lang w:val="en-GB"/>
        </w:rPr>
      </w:pPr>
      <w:r>
        <w:rPr>
          <w:lang w:val="en-GB"/>
        </w:rPr>
        <w:t>14.4. 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bl>
    <w:p>
      <w:pPr>
        <w:pStyle w:val="SDSTextHeading2"/>
        <w:rPr>
          <w:lang w:val="en-GB"/>
        </w:rPr>
      </w:pPr>
      <w:r>
        <w:rPr>
          <w:lang w:val="en-GB"/>
        </w:rPr>
        <w:t>14.5. 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l’environnement</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Polluant marin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d’informations supplémentaires disponibles</w:t>
            </w:r>
          </w:p>
        </w:tc>
      </w:tr>
    </w:tbl>
    <w:p>
      <w:pPr>
        <w:pStyle w:val="SDSTextHeading2"/>
        <w:rPr>
          <w:lang w:val="en-GB"/>
        </w:rPr>
      </w:pPr>
      <w:r>
        <w:rPr>
          <w:lang w:val="en-GB"/>
        </w:rPr>
        <w:t>14.6. 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par voie terrestre</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 xml:space="preserve">Code de classification (ADR) </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P001, IBC03, LP01, R001</w:t>
            </w:r>
          </w:p>
        </w:tc>
      </w:tr>
      <w:tr>
        <w:trPr/>
        <w:tc>
          <w:tcPr>
            <w:tcW w:w="3686"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Dispositions spéciales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Dispositions relatives à l‘emballage en commun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MP19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mobiles et conteneurs pour vrac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mobiles et conteneurs pour vrac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Code-citerne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LGBV</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Véhicule pour le transport en citerne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AT</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Colis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V12</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Chargement, déchargement et manutention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CV13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Numéro d’identification du danger (code Kemler)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90</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Panneaux oranges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762000" cy="571500"/>
                  <wp:effectExtent l="0" t="0" r="0" b="0"/>
                  <wp:docPr id="7" name="Image7"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Panneaux oranges"/>
                          <pic:cNvPicPr>
                            <a:picLocks noChangeAspect="1" noChangeArrowheads="1"/>
                          </pic:cNvPicPr>
                        </pic:nvPicPr>
                        <pic:blipFill>
                          <a:blip r:embed="rId10"/>
                          <a:stretch>
                            <a:fillRect/>
                          </a:stretch>
                        </pic:blipFill>
                        <pic:spPr bwMode="auto">
                          <a:xfrm>
                            <a:off x="0" y="0"/>
                            <a:ext cx="762000" cy="571500"/>
                          </a:xfrm>
                          <a:prstGeom prst="rect">
                            <a:avLst/>
                          </a:prstGeom>
                        </pic:spPr>
                      </pic:pic>
                    </a:graphicData>
                  </a:graphic>
                </wp:inline>
              </w:drawing>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Code de restriction en tunnels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maritime</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274, 335, 969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 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LP01, P001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d’emballages GRV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IBC03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FS (Feu)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F-A</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FS (Déversement)</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S-F</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chargement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aérien</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Y964</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Quantité nette max. pour quantité limitée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30kgG</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964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 nette max. pour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450L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avion cargo seulement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964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 max. nette avion cargo seulement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450L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A97, A158, A197, A215</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ERG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9L</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par voie fluviale</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Code de classification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 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Transport admis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Equipement exigé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Nombre de cônes/feux bleus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ferroviaire</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de classification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P001, IBC03, LP01, R001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particulières relatives à l‘emballage en commun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MP19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mobiles et conteneurs pour vrac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mobiles et conteneurs pour vrac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Codes-citerne pour les citernes RID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LGBV</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Colis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W12</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Chargement, déchargement et manutention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CW13, CW31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Colis express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CE8</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Numéro d’identification du danger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90</w:t>
            </w:r>
          </w:p>
        </w:tc>
      </w:tr>
    </w:tbl>
    <w:p>
      <w:pPr>
        <w:pStyle w:val="SDSTextHeading2"/>
        <w:rPr>
          <w:lang w:val="en-GB"/>
        </w:rPr>
      </w:pPr>
      <w:r>
        <w:rPr>
          <w:lang w:val="en-GB"/>
        </w:rPr>
        <w:t>14.7. Transport maritime en vrac conformément aux instruments de l’OMI</w:t>
      </w:r>
    </w:p>
    <w:p>
      <w:pPr>
        <w:pStyle w:val="SDSTextNormal"/>
        <w:bidi w:val="0"/>
        <w:rPr/>
      </w:pPr>
      <w:r>
        <w:rPr/>
        <w:t>Non applicable</w:t>
      </w:r>
    </w:p>
    <w:p>
      <w:pPr>
        <w:pStyle w:val="SDSTextHeading1"/>
        <w:rPr>
          <w:lang w:val="fr-BE"/>
        </w:rPr>
      </w:pPr>
      <w:r>
        <w:rPr>
          <w:lang w:val="fr-BE"/>
        </w:rPr>
        <w:t>RUBRIQUE 15: Informations relatives à la réglementation</w:t>
      </w:r>
    </w:p>
    <w:p>
      <w:pPr>
        <w:pStyle w:val="SDSTextHeading2"/>
        <w:rPr>
          <w:lang w:val="fr-BE"/>
        </w:rPr>
      </w:pPr>
      <w:r>
        <w:rPr>
          <w:lang w:val="fr-BE"/>
        </w:rPr>
        <w:t>15.1. Réglementations/législation particulières à la substance ou au mélange en matière de sécurité, de santé et d’environnement</w:t>
      </w:r>
    </w:p>
    <w:p>
      <w:pPr>
        <w:pStyle w:val="SDSTextHeading3"/>
        <w:rPr>
          <w:lang w:val="fr-FR"/>
        </w:rPr>
      </w:pPr>
      <w:r>
        <w:rPr>
          <w:lang w:val="fr-FR"/>
        </w:rPr>
        <w:t>15.1.1. Réglementations UE</w:t>
      </w:r>
    </w:p>
    <w:p>
      <w:pPr>
        <w:pStyle w:val="SDSTextHeading4"/>
        <w:rPr/>
      </w:pPr>
      <w:r>
        <w:rPr/>
        <w:t>Annexe XVII de REACH (Liste de restriction)</w:t>
      </w:r>
    </w:p>
    <w:p>
      <w:pPr>
        <w:pStyle w:val="SDSTextNormal"/>
        <w:rPr/>
      </w:pPr>
      <w:r>
        <w:rPr/>
        <w:t>Ne contient pas de substance(s) listée(s) dans l’Annexe XVII de REACH (Conditions de restriction)</w:t>
      </w:r>
    </w:p>
    <w:p>
      <w:pPr>
        <w:pStyle w:val="SDSTextHeading4"/>
        <w:rPr/>
      </w:pPr>
      <w:r>
        <w:rPr/>
        <w:t>Annexe XIV de REACH (Liste d’autorisation)</w:t>
      </w:r>
    </w:p>
    <w:p>
      <w:pPr>
        <w:pStyle w:val="SDSTextNormal"/>
        <w:rPr/>
      </w:pPr>
      <w:r>
        <w:rPr/>
        <w:t>Ne contient pas de substance(s) listée(s) dans l’annexe XIV de REACH (Liste d’autorisation)</w:t>
      </w:r>
    </w:p>
    <w:p>
      <w:pPr>
        <w:pStyle w:val="SDSTextHeading4"/>
        <w:rPr/>
      </w:pPr>
      <w:r>
        <w:rPr/>
        <w:t>Liste candidate REACH (SVHC)</w:t>
      </w:r>
    </w:p>
    <w:p>
      <w:pPr>
        <w:pStyle w:val="SDSTextNormal"/>
        <w:rPr>
          <w:highlight w:val="yellow"/>
        </w:rPr>
      </w:pPr>
      <w:r>
        <w:rPr/>
        <w:t>Ne contient pas de substance(s) listée(s) dans la liste des substances candidates de REACH</w:t>
      </w:r>
    </w:p>
    <w:p>
      <w:pPr>
        <w:pStyle w:val="SDSTextHeading4"/>
        <w:rPr/>
      </w:pPr>
      <w:r>
        <w:rPr/>
        <w:t>Règlement PIC (UE 649/2012, consentement préalable en connaissance de cause)</w:t>
      </w:r>
    </w:p>
    <w:p>
      <w:pPr>
        <w:pStyle w:val="SDSTextNormal"/>
        <w:rPr/>
      </w:pPr>
      <w:r>
        <w:rPr/>
        <w:t>Ne contient pas de substance(s) listée(s) dans la liste PIC (Règlement UE 649/2012 concernant les exportations et importations de produits chimiques dangereux)</w:t>
      </w:r>
    </w:p>
    <w:p>
      <w:pPr>
        <w:pStyle w:val="SDSTextHeading4"/>
        <w:rPr/>
      </w:pPr>
      <w:r>
        <w:rPr/>
        <w:t>Règlement POP (UE 2019/1021, polluants organiques persistants)</w:t>
      </w:r>
    </w:p>
    <w:p>
      <w:pPr>
        <w:pStyle w:val="SDSTextNormal"/>
        <w:rPr/>
      </w:pPr>
      <w:r>
        <w:rPr/>
        <w:t>Ne contient pas de substance(s) listée(s) dans la liste des POP (règlement UE 2019/1021 sur les polluants organiques persistants)</w:t>
      </w:r>
    </w:p>
    <w:p>
      <w:pPr>
        <w:pStyle w:val="SDSTextHeading4"/>
        <w:rPr/>
      </w:pPr>
      <w:r>
        <w:rPr/>
        <w:t>Règlement sur l’appauvrissement de la couche d’ozone (UE 1005/2009)</w:t>
      </w:r>
    </w:p>
    <w:p>
      <w:pPr>
        <w:pStyle w:val="SDSTextNormal"/>
        <w:rPr/>
      </w:pPr>
      <w:r>
        <w:rPr/>
        <w:t>Ne contient aucune substance listée dans la liste des substances appauvrissant la couche d’ozone (Règlement (CE) n° 1005/2009 relatif à des substances appauvrissant la couche d’ozone)</w:t>
      </w:r>
    </w:p>
    <w:p>
      <w:pPr>
        <w:pStyle w:val="SDSTextHeading4"/>
        <w:rPr/>
      </w:pPr>
      <w:r>
        <w:rPr/>
        <w:t>Règlement sur les biens à double usage (428/2009)</w:t>
      </w:r>
    </w:p>
    <w:p>
      <w:pPr>
        <w:pStyle w:val="SDSTextNormal"/>
        <w:rPr/>
      </w:pPr>
      <w:r>
        <w:rPr/>
        <w:t>Ne contient aucune substance soumise au RÈGLEMENT (CE) N° 428/2009 DU CONSEIL du 5 mai 2009 instituant un régime communautaire de contrôle des exportations, des transferts, du courtage et du transit de biens à double usage</w:t>
      </w:r>
    </w:p>
    <w:p>
      <w:pPr>
        <w:pStyle w:val="SDSTextHeading4"/>
        <w:rPr/>
      </w:pPr>
      <w:r>
        <w:rPr/>
        <w:t>Règlement sur les précurseurs d’explosifs (UE 2019/1148)</w:t>
      </w:r>
    </w:p>
    <w:p>
      <w:pPr>
        <w:pStyle w:val="SDSTextNormal"/>
        <w:rPr/>
      </w:pPr>
      <w:r>
        <w:rPr/>
        <w:t>Ne contient pas de substance(s) listée(s) dans la liste des précurseurs d’explosifs (Règlement UE 2019/1148 relatif à la commercialisation et à l’utilisation des précurseurs d’explosifs)</w:t>
      </w:r>
    </w:p>
    <w:p>
      <w:pPr>
        <w:pStyle w:val="SDSTextHeading4"/>
        <w:rPr/>
      </w:pPr>
      <w:r>
        <w:rPr/>
        <w:t>Règlement sur les précurseurs de drogues (CE 273/2004)</w:t>
      </w:r>
    </w:p>
    <w:p>
      <w:pPr>
        <w:pStyle w:val="SDSTextNormal"/>
        <w:rPr/>
      </w:pPr>
      <w:r>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pPr>
      <w:r>
        <w:rPr/>
        <w:t>15.1.2. Directives nationales</w:t>
      </w:r>
    </w:p>
    <w:p>
      <w:pPr>
        <w:pStyle w:val="SDSTextNormal"/>
        <w:bidi w:val="0"/>
        <w:rPr/>
      </w:pPr>
      <w:r>
        <w:rPr/>
        <w:t>Pas d’informations complémentaires disponibles</w:t>
      </w:r>
    </w:p>
    <w:p>
      <w:pPr>
        <w:pStyle w:val="SDSTextHeading2"/>
        <w:rPr>
          <w:lang w:val="en-GB"/>
        </w:rPr>
      </w:pPr>
      <w:r>
        <w:rPr>
          <w:lang w:val="en-GB"/>
        </w:rPr>
        <w:t>15.2. Évaluation de la sécurité chimique</w:t>
      </w:r>
    </w:p>
    <w:p>
      <w:pPr>
        <w:pStyle w:val="SDSTextNormal"/>
        <w:rPr/>
      </w:pPr>
      <w:r>
        <w:rPr/>
        <w:t>Aucune évaluation de la sécurité chimique n’a été effectuée</w:t>
      </w:r>
    </w:p>
    <w:p>
      <w:pPr>
        <w:pStyle w:val="SDSTextHeading1"/>
        <w:rPr>
          <w:lang w:val="fr-BE"/>
        </w:rPr>
      </w:pPr>
      <w:r>
        <w:rPr>
          <w:lang w:val="fr-BE"/>
        </w:rPr>
        <w:t>RUBRIQUE 16: 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Sources des données</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Aucun(e).</w:t>
            </w:r>
          </w:p>
        </w:tc>
      </w:tr>
    </w:tbl>
    <w:p>
      <w:pPr>
        <w:pStyle w:val="SDSTextNormal"/>
        <w:rPr/>
      </w:pPr>
      <w:r>
        <w:rPr/>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6"/>
      </w:tblGrid>
      <w:tr>
        <w:trPr>
          <w:tblHeader w:val="true"/>
        </w:trPr>
        <w:tc>
          <w:tcPr>
            <w:tcW w:w="10489" w:type="dxa"/>
            <w:gridSpan w:val="2"/>
            <w:tcBorders/>
            <w:shd w:color="auto" w:fill="BDD6EE" w:themeFill="accent5" w:themeFillTint="66" w:val="clear"/>
          </w:tcPr>
          <w:p>
            <w:pPr>
              <w:pStyle w:val="SDSTableTextHeading1"/>
              <w:widowControl/>
              <w:spacing w:before="0" w:after="0"/>
              <w:jc w:val="left"/>
              <w:rPr>
                <w:highlight w:val="yellow"/>
              </w:rPr>
            </w:pPr>
            <w:r>
              <w:rPr>
                <w:rFonts w:eastAsia="Times New Roman" w:cs="Arial"/>
                <w:kern w:val="0"/>
                <w:szCs w:val="16"/>
                <w:lang w:val="en-GB" w:bidi="ar-SA"/>
              </w:rPr>
              <w:t>Texte intégral des phrases H et EUH:</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Acute 1</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aigu, catégorie 1</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Chronic 1</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1</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Chronic 2</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2</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EUH208</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Contient ISO E SUPER(54464-57-2), TRIMOFIX O(28371-99-5). Peut produire une réaction allergique.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H315</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Provoque une irritation cutanée.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H317</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provoquer une allergie cutanée.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H400</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Très toxique pour les organismes aquatiques.</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H410</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Très toxique pour les organismes aquatiques, entraîne des effets néfastes à long terme.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H411</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Toxique pour les organismes aquatiques, entraîne des effets néfastes à long terme.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H412</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Irrit. 2</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Corrosif/irritant pour la peau, catégorie 2</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Sens. 1B</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Sensibilisation cutanée, catégorie 1B</w:t>
            </w:r>
          </w:p>
        </w:tc>
      </w:tr>
    </w:tbl>
    <w:p>
      <w:pPr>
        <w:pStyle w:val="SDSTextGray"/>
        <w:rPr/>
      </w:pPr>
      <w:r>
        <w:rPr/>
        <w:t>Fiche de données de sécurité (FDS), UE</w:t>
      </w:r>
    </w:p>
    <w:p>
      <w:pPr>
        <w:pStyle w:val="SDSTextGray"/>
        <w:rPr/>
      </w:pPr>
      <w:r>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headerReference w:type="first" r:id="rId12"/>
      <w:footerReference w:type="default" r:id="rId13"/>
      <w:footerReference w:type="first" r:id="rId14"/>
      <w:type w:val="nextPage"/>
      <w:pgSz w:w="11906" w:h="16838"/>
      <w:pgMar w:left="720" w:right="720" w:gutter="0" w:header="709" w:top="766" w:footer="709" w:bottom="766"/>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rPr>
        <w:trHeight w:val="57" w:hRule="atLeast"/>
      </w:trPr>
      <w:tc>
        <w:tcPr>
          <w:tcW w:w="3514" w:type="dxa"/>
          <w:tcBorders>
            <w:bottom w:val="single" w:sz="4" w:space="0" w:color="000000"/>
          </w:tcBorders>
        </w:tcPr>
        <w:p>
          <w:pPr>
            <w:pStyle w:val="SDSTextBlankLine"/>
            <w:widowControl w:val="false"/>
            <w:rPr/>
          </w:pPr>
          <w:r>
            <w:rPr/>
          </w:r>
        </w:p>
      </w:tc>
      <w:tc>
        <w:tcPr>
          <w:tcW w:w="3459" w:type="dxa"/>
          <w:tcBorders>
            <w:bottom w:val="single" w:sz="4" w:space="0" w:color="000000"/>
          </w:tcBorders>
        </w:tcPr>
        <w:p>
          <w:pPr>
            <w:pStyle w:val="SDSTextBlankLine"/>
            <w:widowControl w:val="false"/>
            <w:rPr/>
          </w:pPr>
          <w:r>
            <w:rPr/>
          </w:r>
        </w:p>
      </w:tc>
      <w:tc>
        <w:tcPr>
          <w:tcW w:w="3515" w:type="dxa"/>
          <w:tcBorders>
            <w:bottom w:val="single" w:sz="4" w:space="0" w:color="000000"/>
          </w:tcBorders>
        </w:tcPr>
        <w:p>
          <w:pPr>
            <w:pStyle w:val="SDSTextBlankLine"/>
            <w:widowControl w:val="false"/>
            <w:rPr/>
          </w:pPr>
          <w:r>
            <w:rPr/>
          </w:r>
        </w:p>
      </w:tc>
    </w:tr>
    <w:tr>
      <w:trPr>
        <w:trHeight w:val="20" w:hRule="atLeast"/>
      </w:trPr>
      <w:tc>
        <w:tcPr>
          <w:tcW w:w="3514" w:type="dxa"/>
          <w:tcBorders>
            <w:top w:val="single" w:sz="4" w:space="0" w:color="000000"/>
          </w:tcBorders>
        </w:tcPr>
        <w:p>
          <w:pPr>
            <w:pStyle w:val="SDSTableTextFooter"/>
            <w:widowControl w:val="false"/>
            <w:rPr/>
          </w:pPr>
          <w:r>
            <w:rPr/>
            <w:t>19/01/2024 (Date d’émission)</w:t>
          </w:r>
        </w:p>
      </w:tc>
      <w:tc>
        <w:tcPr>
          <w:tcW w:w="3459" w:type="dxa"/>
          <w:tcBorders>
            <w:top w:val="single" w:sz="4" w:space="0" w:color="000000"/>
          </w:tcBorders>
        </w:tcPr>
        <w:p>
          <w:pPr>
            <w:pStyle w:val="SDSTableTextFooter"/>
            <w:widowControl w:val="false"/>
            <w:jc w:val="center"/>
            <w:rPr/>
          </w:pPr>
          <w:r>
            <w:rPr/>
            <w:t>FR (français)</w:t>
          </w:r>
        </w:p>
      </w:tc>
      <w:tc>
        <w:tcPr>
          <w:tcW w:w="3515" w:type="dxa"/>
          <w:tcBorders>
            <w:top w:val="single" w:sz="4" w:space="0" w:color="000000"/>
          </w:tcBorders>
        </w:tcPr>
        <w:p>
          <w:pPr>
            <w:pStyle w:val="SDSTableTextFooter"/>
            <w:widowControl w:val="false"/>
            <w:jc w:val="right"/>
            <w:rPr/>
          </w:pPr>
          <w:r>
            <w:rPr/>
            <w:fldChar w:fldCharType="begin"/>
          </w:r>
          <w:r>
            <w:rPr/>
            <w:instrText> PAGE </w:instrText>
          </w:r>
          <w:r>
            <w:rPr/>
            <w:fldChar w:fldCharType="separate"/>
          </w:r>
          <w:r>
            <w:rPr/>
            <w:t>11</w:t>
          </w:r>
          <w:r>
            <w:rPr/>
            <w:fldChar w:fldCharType="end"/>
          </w:r>
          <w:r>
            <w:rPr/>
            <w:t>/</w:t>
          </w:r>
          <w:r>
            <w:rPr/>
            <w:fldChar w:fldCharType="begin"/>
          </w:r>
          <w:r>
            <w:rPr/>
            <w:instrText> NUMPAGES </w:instrText>
          </w:r>
          <w:r>
            <w:rPr/>
            <w:fldChar w:fldCharType="separate"/>
          </w:r>
          <w:r>
            <w:rPr/>
            <w:t>11</w:t>
          </w:r>
          <w:r>
            <w:rPr/>
            <w:fldChar w:fldCharType="end"/>
          </w:r>
        </w:p>
      </w:tc>
    </w:tr>
  </w:tbl>
  <w:p>
    <w:pPr>
      <w:pStyle w:val="SDSTextBlankLin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rPr>
        <w:trHeight w:val="57" w:hRule="atLeast"/>
      </w:trPr>
      <w:tc>
        <w:tcPr>
          <w:tcW w:w="3514" w:type="dxa"/>
          <w:tcBorders>
            <w:bottom w:val="single" w:sz="4" w:space="0" w:color="000000"/>
          </w:tcBorders>
        </w:tcPr>
        <w:p>
          <w:pPr>
            <w:pStyle w:val="SDSTextBlankLine"/>
            <w:widowControl w:val="false"/>
            <w:rPr/>
          </w:pPr>
          <w:r>
            <w:rPr/>
          </w:r>
        </w:p>
      </w:tc>
      <w:tc>
        <w:tcPr>
          <w:tcW w:w="3459" w:type="dxa"/>
          <w:tcBorders>
            <w:bottom w:val="single" w:sz="4" w:space="0" w:color="000000"/>
          </w:tcBorders>
        </w:tcPr>
        <w:p>
          <w:pPr>
            <w:pStyle w:val="SDSTextBlankLine"/>
            <w:widowControl w:val="false"/>
            <w:rPr/>
          </w:pPr>
          <w:r>
            <w:rPr/>
          </w:r>
        </w:p>
      </w:tc>
      <w:tc>
        <w:tcPr>
          <w:tcW w:w="3515" w:type="dxa"/>
          <w:tcBorders>
            <w:bottom w:val="single" w:sz="4" w:space="0" w:color="000000"/>
          </w:tcBorders>
        </w:tcPr>
        <w:p>
          <w:pPr>
            <w:pStyle w:val="SDSTextBlankLine"/>
            <w:widowControl w:val="false"/>
            <w:rPr/>
          </w:pPr>
          <w:r>
            <w:rPr/>
          </w:r>
        </w:p>
      </w:tc>
    </w:tr>
    <w:tr>
      <w:trPr>
        <w:trHeight w:val="20" w:hRule="atLeast"/>
      </w:trPr>
      <w:tc>
        <w:tcPr>
          <w:tcW w:w="3514" w:type="dxa"/>
          <w:tcBorders>
            <w:top w:val="single" w:sz="4" w:space="0" w:color="000000"/>
          </w:tcBorders>
        </w:tcPr>
        <w:p>
          <w:pPr>
            <w:pStyle w:val="SDSTableTextFooter"/>
            <w:widowControl w:val="false"/>
            <w:rPr/>
          </w:pPr>
          <w:r>
            <w:rPr/>
            <w:t>19/01/2024 (Date d’émission)</w:t>
          </w:r>
        </w:p>
      </w:tc>
      <w:tc>
        <w:tcPr>
          <w:tcW w:w="3459" w:type="dxa"/>
          <w:tcBorders>
            <w:top w:val="single" w:sz="4" w:space="0" w:color="000000"/>
          </w:tcBorders>
        </w:tcPr>
        <w:p>
          <w:pPr>
            <w:pStyle w:val="SDSTableTextFooter"/>
            <w:widowControl w:val="false"/>
            <w:jc w:val="center"/>
            <w:rPr/>
          </w:pPr>
          <w:r>
            <w:rPr/>
            <w:t>FR (français)</w:t>
          </w:r>
        </w:p>
      </w:tc>
      <w:tc>
        <w:tcPr>
          <w:tcW w:w="3515" w:type="dxa"/>
          <w:tcBorders>
            <w:top w:val="single" w:sz="4" w:space="0" w:color="000000"/>
          </w:tcBorders>
        </w:tcPr>
        <w:p>
          <w:pPr>
            <w:pStyle w:val="SDSTableTextFooter"/>
            <w:widowControl w:val="false"/>
            <w:jc w:val="right"/>
            <w:rPr/>
          </w:pPr>
          <w:r>
            <w:rPr/>
            <w:fldChar w:fldCharType="begin"/>
          </w:r>
          <w:r>
            <w:rPr/>
            <w:instrText> PAGE </w:instrText>
          </w:r>
          <w:r>
            <w:rPr/>
            <w:fldChar w:fldCharType="separate"/>
          </w:r>
          <w:r>
            <w:rPr/>
            <w:t>1</w:t>
          </w:r>
          <w:r>
            <w:rPr/>
            <w:fldChar w:fldCharType="end"/>
          </w:r>
          <w:r>
            <w:rPr/>
            <w:t>/</w:t>
          </w:r>
          <w:r>
            <w:rPr/>
            <w:fldChar w:fldCharType="begin"/>
          </w:r>
          <w:r>
            <w:rPr/>
            <w:instrText> NUMPAGES </w:instrText>
          </w:r>
          <w:r>
            <w:rPr/>
            <w:fldChar w:fldCharType="separate"/>
          </w:r>
          <w:r>
            <w:rPr/>
            <w:t>11</w:t>
          </w:r>
          <w:r>
            <w:rPr/>
            <w:fldChar w:fldCharType="end"/>
          </w:r>
        </w:p>
      </w:tc>
    </w:tr>
  </w:tbl>
  <w:p>
    <w:pPr>
      <w:pStyle w:val="SDSTextBlankLine"/>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0" w:type="dxa"/>
        <w:left w:w="0" w:type="dxa"/>
        <w:bottom w:w="57" w:type="dxa"/>
        <w:right w:w="0" w:type="dxa"/>
      </w:tblCellMar>
      <w:tblLook w:val="04a0"/>
    </w:tblPr>
    <w:tblGrid>
      <w:gridCol w:w="7483"/>
      <w:gridCol w:w="3004"/>
    </w:tblGrid>
    <w:tr>
      <w:trPr>
        <w:trHeight w:val="20" w:hRule="atLeast"/>
      </w:trPr>
      <w:tc>
        <w:tcPr>
          <w:tcW w:w="10487" w:type="dxa"/>
          <w:gridSpan w:val="2"/>
          <w:tcBorders/>
        </w:tcPr>
        <w:p>
          <w:pPr>
            <w:pStyle w:val="SDSTableTextHeader"/>
            <w:widowControl w:val="false"/>
            <w:rPr>
              <w:b/>
              <w:b/>
              <w:sz w:val="32"/>
              <w:szCs w:val="32"/>
            </w:rPr>
          </w:pPr>
          <w:r>
            <w:rPr>
              <w:b/>
              <w:sz w:val="32"/>
              <w:szCs w:val="32"/>
            </w:rPr>
            <w:t>FDS 5.2% - Magnolia</w:t>
          </w:r>
        </w:p>
      </w:tc>
    </w:tr>
    <w:tr>
      <w:trPr>
        <w:trHeight w:val="20" w:hRule="atLeast"/>
      </w:trPr>
      <w:tc>
        <w:tcPr>
          <w:tcW w:w="7483" w:type="dxa"/>
          <w:tcBorders/>
        </w:tcPr>
        <w:p>
          <w:pPr>
            <w:pStyle w:val="SDSTableTextHeader"/>
            <w:widowControl w:val="false"/>
            <w:rPr>
              <w:sz w:val="24"/>
              <w:szCs w:val="24"/>
            </w:rPr>
          </w:pPr>
          <w:r>
            <w:rPr>
              <w:sz w:val="24"/>
              <w:szCs w:val="24"/>
            </w:rPr>
            <w:t>Fiche de Données de Sécurité</w:t>
          </w:r>
        </w:p>
      </w:tc>
      <w:tc>
        <w:tcPr>
          <w:tcW w:w="3004" w:type="dxa"/>
          <w:tcBorders/>
        </w:tcPr>
        <w:p>
          <w:pPr>
            <w:pStyle w:val="SDSTableTextHeader"/>
            <w:widowControl w:val="false"/>
            <w:jc w:val="right"/>
            <w:rPr>
              <w:b/>
              <w:b/>
              <w:color w:val="FF0000"/>
              <w:sz w:val="24"/>
              <w:szCs w:val="24"/>
            </w:rPr>
          </w:pPr>
          <w:r>
            <w:rPr>
              <w:b/>
              <w:color w:val="FF0000"/>
              <w:sz w:val="24"/>
              <w:szCs w:val="24"/>
            </w:rPr>
          </w:r>
        </w:p>
      </w:tc>
    </w:tr>
    <w:tr>
      <w:trPr>
        <w:trHeight w:val="20" w:hRule="atLeast"/>
      </w:trPr>
      <w:tc>
        <w:tcPr>
          <w:tcW w:w="10487" w:type="dxa"/>
          <w:gridSpan w:val="2"/>
          <w:tcBorders>
            <w:bottom w:val="single" w:sz="4" w:space="0" w:color="000000"/>
          </w:tcBorders>
        </w:tcPr>
        <w:p>
          <w:pPr>
            <w:pStyle w:val="SDSTableTextHeader"/>
            <w:widowControl w:val="false"/>
            <w:rPr>
              <w:lang w:val="fr-BE"/>
            </w:rPr>
          </w:pPr>
          <w:r>
            <w:rPr>
              <w:lang w:val="fr-BE"/>
            </w:rPr>
            <w:t>conformément au règlement (CE) n° 1907/2006 (REACH) modifié par le règlement (UE) 2020/878</w:t>
          </w:r>
        </w:p>
      </w:tc>
    </w:tr>
    <w:tr>
      <w:trPr>
        <w:trHeight w:val="57" w:hRule="atLeast"/>
      </w:trPr>
      <w:tc>
        <w:tcPr>
          <w:tcW w:w="10487" w:type="dxa"/>
          <w:gridSpan w:val="2"/>
          <w:tcBorders>
            <w:top w:val="single" w:sz="4" w:space="0" w:color="000000"/>
          </w:tcBorders>
        </w:tcPr>
        <w:p>
          <w:pPr>
            <w:pStyle w:val="SDSTextBlankLine"/>
            <w:widowControl w:val="false"/>
            <w:rPr>
              <w:lang w:val="fr-BE"/>
            </w:rPr>
          </w:pPr>
          <w:r>
            <w:rPr>
              <w:lang w:val="fr-BE"/>
            </w:rPr>
          </w:r>
        </w:p>
      </w:tc>
    </w:tr>
  </w:tbl>
  <w:p>
    <w:pPr>
      <w:pStyle w:val="SDSTextBlankLine"/>
      <w:rPr>
        <w:lang w:val="fr-BE"/>
      </w:rPr>
    </w:pPr>
    <w:r>
      <w:rPr>
        <w:lang w:val="fr-B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rPr>
        <w:trHeight w:val="20" w:hRule="atLeast"/>
      </w:trPr>
      <w:tc>
        <w:tcPr>
          <w:tcW w:w="2948" w:type="dxa"/>
          <w:vMerge w:val="restart"/>
          <w:tcBorders>
            <w:bottom w:val="single" w:sz="4" w:space="0" w:color="000000"/>
          </w:tcBorders>
        </w:tcPr>
        <w:p>
          <w:pPr>
            <w:pStyle w:val="SDSTableTextHeader"/>
            <w:widowControl w:val="false"/>
            <w:rPr/>
          </w:pPr>
          <w:r>
            <w:rPr/>
            <w:drawing>
              <wp:inline distT="0" distB="0" distL="114935" distR="114935">
                <wp:extent cx="773430" cy="647700"/>
                <wp:effectExtent l="0" t="0" r="0" b="0"/>
                <wp:docPr id="8" name="Image8"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Logo pour "/>
                        <pic:cNvPicPr>
                          <a:picLocks noChangeAspect="1" noChangeArrowheads="1"/>
                        </pic:cNvPicPr>
                      </pic:nvPicPr>
                      <pic:blipFill>
                        <a:blip r:embed="rId1"/>
                        <a:stretch>
                          <a:fillRect/>
                        </a:stretch>
                      </pic:blipFill>
                      <pic:spPr bwMode="auto">
                        <a:xfrm>
                          <a:off x="0" y="0"/>
                          <a:ext cx="773430" cy="647700"/>
                        </a:xfrm>
                        <a:prstGeom prst="rect">
                          <a:avLst/>
                        </a:prstGeom>
                      </pic:spPr>
                    </pic:pic>
                  </a:graphicData>
                </a:graphic>
              </wp:inline>
            </w:drawing>
          </w:r>
        </w:p>
      </w:tc>
      <w:tc>
        <w:tcPr>
          <w:tcW w:w="7540" w:type="dxa"/>
          <w:gridSpan w:val="2"/>
          <w:tcBorders/>
        </w:tcPr>
        <w:p>
          <w:pPr>
            <w:pStyle w:val="SDSTableTextHeader"/>
            <w:widowControl w:val="false"/>
            <w:rPr>
              <w:b/>
              <w:b/>
              <w:sz w:val="32"/>
              <w:szCs w:val="32"/>
            </w:rPr>
          </w:pPr>
          <w:r>
            <w:rPr>
              <w:b/>
              <w:sz w:val="32"/>
              <w:szCs w:val="32"/>
            </w:rPr>
            <w:t>FDS 5.2% - Magnolia</w:t>
          </w:r>
        </w:p>
      </w:tc>
    </w:tr>
    <w:tr>
      <w:trPr>
        <w:trHeight w:val="20" w:hRule="atLeast"/>
      </w:trPr>
      <w:tc>
        <w:tcPr>
          <w:tcW w:w="2948" w:type="dxa"/>
          <w:vMerge w:val="continue"/>
          <w:tcBorders/>
        </w:tcPr>
        <w:p>
          <w:pPr>
            <w:pStyle w:val="SDSTableTextHeader"/>
            <w:widowControl w:val="false"/>
            <w:rPr/>
          </w:pPr>
          <w:r>
            <w:rPr/>
          </w:r>
        </w:p>
      </w:tc>
      <w:tc>
        <w:tcPr>
          <w:tcW w:w="4535" w:type="dxa"/>
          <w:tcBorders/>
        </w:tcPr>
        <w:p>
          <w:pPr>
            <w:pStyle w:val="SDSTableTextHeader"/>
            <w:widowControl w:val="false"/>
            <w:rPr>
              <w:sz w:val="24"/>
              <w:szCs w:val="24"/>
            </w:rPr>
          </w:pPr>
          <w:r>
            <w:rPr>
              <w:sz w:val="24"/>
              <w:szCs w:val="24"/>
            </w:rPr>
            <w:t>Fiche de Données de Sécurité</w:t>
          </w:r>
        </w:p>
      </w:tc>
      <w:tc>
        <w:tcPr>
          <w:tcW w:w="3005" w:type="dxa"/>
          <w:tcBorders/>
        </w:tcPr>
        <w:p>
          <w:pPr>
            <w:pStyle w:val="SDSTableTextHeader"/>
            <w:widowControl w:val="false"/>
            <w:jc w:val="right"/>
            <w:rPr>
              <w:b/>
              <w:b/>
              <w:color w:val="FF0000"/>
              <w:sz w:val="24"/>
              <w:szCs w:val="24"/>
            </w:rPr>
          </w:pPr>
          <w:r>
            <w:rPr>
              <w:b/>
              <w:color w:val="FF0000"/>
              <w:sz w:val="24"/>
              <w:szCs w:val="24"/>
            </w:rPr>
          </w:r>
        </w:p>
      </w:tc>
    </w:tr>
    <w:tr>
      <w:trPr>
        <w:trHeight w:val="20" w:hRule="atLeast"/>
      </w:trPr>
      <w:tc>
        <w:tcPr>
          <w:tcW w:w="2948" w:type="dxa"/>
          <w:vMerge w:val="continue"/>
          <w:tcBorders>
            <w:bottom w:val="single" w:sz="4" w:space="0" w:color="000000"/>
          </w:tcBorders>
        </w:tcPr>
        <w:p>
          <w:pPr>
            <w:pStyle w:val="SDSTableTextHeader"/>
            <w:widowControl w:val="false"/>
            <w:rPr/>
          </w:pPr>
          <w:r>
            <w:rPr/>
          </w:r>
        </w:p>
      </w:tc>
      <w:tc>
        <w:tcPr>
          <w:tcW w:w="7540" w:type="dxa"/>
          <w:gridSpan w:val="2"/>
          <w:tcBorders>
            <w:bottom w:val="single" w:sz="4" w:space="0" w:color="000000"/>
          </w:tcBorders>
        </w:tcPr>
        <w:p>
          <w:pPr>
            <w:pStyle w:val="SDSTableTextHeader"/>
            <w:widowControl w:val="false"/>
            <w:rPr>
              <w:lang w:val="fr-BE"/>
            </w:rPr>
          </w:pPr>
          <w:r>
            <w:rPr>
              <w:lang w:val="fr-BE"/>
            </w:rPr>
            <w:t>conformément au règlement (CE) n° 1907/2006 (REACH) modifié par le règlement (UE) 2020/878</w:t>
          </w:r>
        </w:p>
        <w:p>
          <w:pPr>
            <w:pStyle w:val="SDSTableTextHeader"/>
            <w:widowControl w:val="false"/>
            <w:rPr/>
          </w:pPr>
          <w:r>
            <w:rPr/>
            <w:t>Numéro de référence: -</w:t>
          </w:r>
        </w:p>
        <w:p>
          <w:pPr>
            <w:pStyle w:val="SDSTableTextHeader"/>
            <w:widowControl w:val="false"/>
            <w:rPr/>
          </w:pPr>
          <w:r>
            <w:rPr/>
            <w:t>Date d’émission: 19/01/2024   Version: 1.0</w:t>
          </w:r>
        </w:p>
      </w:tc>
    </w:tr>
    <w:tr>
      <w:trPr>
        <w:trHeight w:val="57" w:hRule="atLeast"/>
      </w:trPr>
      <w:tc>
        <w:tcPr>
          <w:tcW w:w="2948" w:type="dxa"/>
          <w:tcBorders>
            <w:top w:val="single" w:sz="4" w:space="0" w:color="000000"/>
          </w:tcBorders>
        </w:tcPr>
        <w:p>
          <w:pPr>
            <w:pStyle w:val="SDSTextBlankLine"/>
            <w:widowControl w:val="false"/>
            <w:rPr/>
          </w:pPr>
          <w:r>
            <w:rPr/>
          </w:r>
        </w:p>
      </w:tc>
      <w:tc>
        <w:tcPr>
          <w:tcW w:w="7540" w:type="dxa"/>
          <w:gridSpan w:val="2"/>
          <w:tcBorders>
            <w:top w:val="single" w:sz="4" w:space="0" w:color="000000"/>
          </w:tcBorders>
        </w:tcPr>
        <w:p>
          <w:pPr>
            <w:pStyle w:val="SDSTextBlankLine"/>
            <w:widowControl w:val="false"/>
            <w:rPr/>
          </w:pPr>
          <w:r>
            <w:rPr/>
          </w:r>
        </w:p>
      </w:tc>
    </w:tr>
  </w:tbl>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ja-JP"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Times New Roman" w:cs="Arial"/>
        <w:sz w:val="16"/>
        <w:szCs w:val="16"/>
        <w:lang w:val="en-GB" w:eastAsia="en-GB" w:bidi="ar-SA"/>
      </w:rPr>
    </w:rPrDefault>
    <w:pPrDefault>
      <w:pPr>
        <w:suppressAutoHyphens w:val="true"/>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uiPriority="0"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semiHidden="1" w:unhideWhenUsed="1"/>
    <w:lsdException w:name="annotation subject" w:semiHidden="1"/>
    <w:lsdException w:name="Outline List 1" w:uiPriority="0"/>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lsdException w:name="Table Grid" w:uiPriority="39"/>
    <w:lsdException w:name="Table Theme" w:uiPriority="0"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9"/>
    <w:semiHidden/>
    <w:qFormat/>
    <w:rsid w:val="007b733e"/>
    <w:pPr>
      <w:keepLines/>
      <w:widowControl/>
      <w:bidi w:val="0"/>
      <w:spacing w:lineRule="auto" w:line="288" w:before="0" w:after="0"/>
      <w:jc w:val="left"/>
    </w:pPr>
    <w:rPr>
      <w:rFonts w:ascii="Arial" w:hAnsi="Arial" w:eastAsia="Times New Roman" w:cs="Arial"/>
      <w:color w:val="auto"/>
      <w:kern w:val="0"/>
      <w:sz w:val="16"/>
      <w:szCs w:val="12"/>
      <w:lang w:eastAsia="nl-NL" w:val="en-GB" w:bidi="ar-SA"/>
    </w:rPr>
  </w:style>
  <w:style w:type="paragraph" w:styleId="Titre1">
    <w:name w:val="Heading 1"/>
    <w:basedOn w:val="Normal"/>
    <w:next w:val="Normal"/>
    <w:link w:val="Heading1Char"/>
    <w:uiPriority w:val="99"/>
    <w:semiHidden/>
    <w:qFormat/>
    <w:rsid w:val="000401c3"/>
    <w:pPr>
      <w:keepNext w:val="true"/>
      <w:spacing w:lineRule="auto" w:line="240" w:before="240" w:after="60"/>
      <w:outlineLvl w:val="0"/>
    </w:pPr>
    <w:rPr>
      <w:rFonts w:ascii="Cambria" w:hAnsi="Cambria" w:cs="Times New Roman"/>
      <w:b/>
      <w:bCs/>
      <w:kern w:val="2"/>
      <w:sz w:val="32"/>
      <w:szCs w:val="32"/>
      <w:lang w:val="nl-NL"/>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9"/>
    <w:semiHidden/>
    <w:qFormat/>
    <w:rsid w:val="007b733e"/>
    <w:rPr>
      <w:rFonts w:ascii="Cambria" w:hAnsi="Cambria" w:cs="Times New Roman"/>
      <w:b/>
      <w:bCs/>
      <w:kern w:val="2"/>
      <w:sz w:val="32"/>
      <w:szCs w:val="32"/>
      <w:lang w:val="nl-NL" w:eastAsia="nl-NL"/>
    </w:rPr>
  </w:style>
  <w:style w:type="character" w:styleId="SDSTableTextNormalChar" w:customStyle="1">
    <w:name w:val="SDS_TableText_Normal Char"/>
    <w:link w:val="SDSTableTextNormal"/>
    <w:uiPriority w:val="12"/>
    <w:qFormat/>
    <w:rsid w:val="00f23b9d"/>
    <w:rPr>
      <w:rFonts w:ascii="Arial" w:hAnsi="Arial" w:cs="Arial"/>
      <w:sz w:val="16"/>
      <w:szCs w:val="12"/>
      <w:lang w:eastAsia="nl-NL"/>
    </w:rPr>
  </w:style>
  <w:style w:type="character" w:styleId="SDSTableTextBoldChar" w:customStyle="1">
    <w:name w:val="SDS_TableText_Bold Char"/>
    <w:link w:val="SDSTableTextBold"/>
    <w:uiPriority w:val="14"/>
    <w:qFormat/>
    <w:rsid w:val="00aa1f17"/>
    <w:rPr>
      <w:rFonts w:ascii="Arial" w:hAnsi="Arial" w:cs="Arial"/>
      <w:b/>
      <w:sz w:val="16"/>
      <w:szCs w:val="12"/>
      <w:lang w:eastAsia="nl-NL"/>
    </w:rPr>
  </w:style>
  <w:style w:type="character" w:styleId="SDSTableTextHeading1Char" w:customStyle="1">
    <w:name w:val="SDS_TableText_Heading1 Char"/>
    <w:link w:val="SDSTableTextHeading1"/>
    <w:uiPriority w:val="12"/>
    <w:qFormat/>
    <w:rsid w:val="00a53857"/>
    <w:rPr>
      <w:rFonts w:ascii="Arial" w:hAnsi="Arial" w:cs="Arial"/>
      <w:b/>
      <w:color w:val="0070C0"/>
      <w:sz w:val="18"/>
      <w:szCs w:val="16"/>
      <w:lang w:eastAsia="nl-NL"/>
    </w:rPr>
  </w:style>
  <w:style w:type="character" w:styleId="SDSTableTextHeading2Char" w:customStyle="1">
    <w:name w:val="SDS_TableText_Heading2 Char"/>
    <w:link w:val="SDSTableTextHeading2"/>
    <w:uiPriority w:val="12"/>
    <w:qFormat/>
    <w:rsid w:val="00a53857"/>
    <w:rPr>
      <w:rFonts w:ascii="Arial" w:hAnsi="Arial" w:cs="Arial"/>
      <w:b/>
      <w:color w:val="0070C0"/>
      <w:sz w:val="16"/>
      <w:szCs w:val="16"/>
      <w:lang w:eastAsia="nl-NL"/>
    </w:rPr>
  </w:style>
  <w:style w:type="character" w:styleId="SDSTextBlankLineChar" w:customStyle="1">
    <w:name w:val="SDS_Text_BlankLine Char"/>
    <w:link w:val="SDSTextBlankLine"/>
    <w:uiPriority w:val="8"/>
    <w:qFormat/>
    <w:rsid w:val="00bf3303"/>
    <w:rPr>
      <w:rFonts w:ascii="Arial" w:hAnsi="Arial" w:cs="Arial"/>
      <w:sz w:val="2"/>
      <w:szCs w:val="16"/>
      <w:lang w:eastAsia="nl-NL"/>
    </w:rPr>
  </w:style>
  <w:style w:type="character" w:styleId="SDSTextNormalChar" w:customStyle="1">
    <w:name w:val="SDS_Text_Normal Char"/>
    <w:link w:val="SDSTextNormal"/>
    <w:uiPriority w:val="5"/>
    <w:qFormat/>
    <w:rsid w:val="00be6bbd"/>
    <w:rPr>
      <w:lang w:eastAsia="nl-NL"/>
    </w:rPr>
  </w:style>
  <w:style w:type="character" w:styleId="SDSTextGrayChar" w:customStyle="1">
    <w:name w:val="SDS_Text_Gray Char"/>
    <w:link w:val="SDSTextGray"/>
    <w:uiPriority w:val="7"/>
    <w:qFormat/>
    <w:rsid w:val="00884972"/>
    <w:rPr>
      <w:rFonts w:ascii="Arial" w:hAnsi="Arial" w:cs="Arial"/>
      <w:color w:val="808080"/>
      <w:sz w:val="16"/>
      <w:szCs w:val="16"/>
      <w:lang w:eastAsia="nl-NL"/>
    </w:rPr>
  </w:style>
  <w:style w:type="character" w:styleId="SDSTextHeading1Char" w:customStyle="1">
    <w:name w:val="SDS_Text_Heading1 Char"/>
    <w:link w:val="SDSTextHeading1"/>
    <w:uiPriority w:val="1"/>
    <w:qFormat/>
    <w:rsid w:val="004020aa"/>
    <w:rPr>
      <w:b/>
      <w:bCs/>
      <w:color w:val="FFFFFF"/>
      <w:sz w:val="20"/>
      <w:shd w:fill="2E74B5" w:val="clear"/>
      <w:lang w:val="de-DE" w:eastAsia="nl-NL"/>
    </w:rPr>
  </w:style>
  <w:style w:type="character" w:styleId="SDSTextHeading2Char" w:customStyle="1">
    <w:name w:val="SDS_Text_Heading2 Char"/>
    <w:link w:val="SDSTextHeading2"/>
    <w:uiPriority w:val="2"/>
    <w:qFormat/>
    <w:rsid w:val="00eb44fc"/>
    <w:rPr>
      <w:rFonts w:ascii="Arial" w:hAnsi="Arial" w:cs="Arial"/>
      <w:b/>
      <w:bCs/>
      <w:color w:val="0070C0"/>
      <w:sz w:val="18"/>
      <w:szCs w:val="16"/>
      <w:shd w:fill="9CC2E5" w:val="clear"/>
      <w:lang w:val="de-DE" w:eastAsia="nl-NL"/>
    </w:rPr>
  </w:style>
  <w:style w:type="character" w:styleId="SDSTextHeading3Char" w:customStyle="1">
    <w:name w:val="SDS_Text_Heading3 Char"/>
    <w:link w:val="SDSTextHeading3"/>
    <w:uiPriority w:val="3"/>
    <w:qFormat/>
    <w:rsid w:val="00eb44fc"/>
    <w:rPr>
      <w:rFonts w:ascii="Arial" w:hAnsi="Arial" w:cs="Arial"/>
      <w:b/>
      <w:bCs/>
      <w:color w:val="0070C0"/>
      <w:sz w:val="16"/>
      <w:szCs w:val="16"/>
      <w:lang w:eastAsia="nl-NL"/>
    </w:rPr>
  </w:style>
  <w:style w:type="character" w:styleId="SDSTextHeading4Char" w:customStyle="1">
    <w:name w:val="SDS_Text_Heading4 Char"/>
    <w:link w:val="SDSTextHeading4"/>
    <w:uiPriority w:val="4"/>
    <w:qFormat/>
    <w:rsid w:val="002600e7"/>
    <w:rPr>
      <w:rFonts w:ascii="Arial" w:hAnsi="Arial" w:cs="Arial"/>
      <w:b/>
      <w:color w:val="0070C0"/>
      <w:sz w:val="16"/>
      <w:szCs w:val="16"/>
      <w:lang w:eastAsia="nl-NL"/>
    </w:rPr>
  </w:style>
  <w:style w:type="character" w:styleId="SDSTableTextColonColumnChar" w:customStyle="1">
    <w:name w:val="SDS_TableText_ColonColumn Char"/>
    <w:link w:val="SDSTableTextColonColumn"/>
    <w:uiPriority w:val="16"/>
    <w:qFormat/>
    <w:rsid w:val="00394fde"/>
    <w:rPr>
      <w:rFonts w:ascii="Arial" w:hAnsi="Arial" w:cs="Arial"/>
      <w:sz w:val="16"/>
      <w:szCs w:val="12"/>
      <w:lang w:eastAsia="nl-NL"/>
    </w:rPr>
  </w:style>
  <w:style w:type="character" w:styleId="SDSTableTextHeaderChar" w:customStyle="1">
    <w:name w:val="SDS_TableText_Header Char"/>
    <w:basedOn w:val="SDSTableTextNormalChar"/>
    <w:link w:val="SDSTableTextHeader"/>
    <w:uiPriority w:val="19"/>
    <w:qFormat/>
    <w:rsid w:val="00aa1f17"/>
    <w:rPr>
      <w:rFonts w:ascii="Arial" w:hAnsi="Arial" w:cs="Arial"/>
      <w:sz w:val="14"/>
      <w:szCs w:val="14"/>
      <w:lang w:eastAsia="nl-NL"/>
    </w:rPr>
  </w:style>
  <w:style w:type="character" w:styleId="HeaderChar" w:customStyle="1">
    <w:name w:val="Header Char"/>
    <w:basedOn w:val="DefaultParagraphFont"/>
    <w:link w:val="Header"/>
    <w:uiPriority w:val="99"/>
    <w:semiHidden/>
    <w:qFormat/>
    <w:rsid w:val="007b733e"/>
    <w:rPr>
      <w:szCs w:val="12"/>
      <w:lang w:eastAsia="nl-NL"/>
    </w:rPr>
  </w:style>
  <w:style w:type="character" w:styleId="FooterChar" w:customStyle="1">
    <w:name w:val="Footer Char"/>
    <w:basedOn w:val="DefaultParagraphFont"/>
    <w:link w:val="Footer"/>
    <w:uiPriority w:val="99"/>
    <w:semiHidden/>
    <w:qFormat/>
    <w:rsid w:val="007b733e"/>
    <w:rPr>
      <w:szCs w:val="12"/>
      <w:lang w:eastAsia="nl-NL"/>
    </w:rPr>
  </w:style>
  <w:style w:type="character" w:styleId="BodyTextChar" w:customStyle="1">
    <w:name w:val="Body Text Char"/>
    <w:basedOn w:val="DefaultParagraphFont"/>
    <w:link w:val="BodyText"/>
    <w:uiPriority w:val="99"/>
    <w:semiHidden/>
    <w:qFormat/>
    <w:rsid w:val="007b733e"/>
    <w:rPr>
      <w:rFonts w:eastAsia="MS Mincho" w:cs="Times New Roman"/>
      <w:sz w:val="20"/>
      <w:szCs w:val="24"/>
      <w:lang w:val="en-US" w:eastAsia="nl-NL"/>
    </w:rPr>
  </w:style>
  <w:style w:type="character" w:styleId="BalloonTextChar" w:customStyle="1">
    <w:name w:val="Balloon Text Char"/>
    <w:basedOn w:val="DefaultParagraphFont"/>
    <w:link w:val="BalloonText"/>
    <w:uiPriority w:val="99"/>
    <w:semiHidden/>
    <w:qFormat/>
    <w:rsid w:val="00240fb0"/>
    <w:rPr>
      <w:rFonts w:ascii="Segoe UI" w:hAnsi="Segoe UI" w:cs="Segoe UI"/>
      <w:sz w:val="18"/>
      <w:szCs w:val="18"/>
      <w:lang w:eastAsia="nl-NL"/>
    </w:rPr>
  </w:style>
  <w:style w:type="character" w:styleId="LienInternet">
    <w:name w:val="Lien Internet"/>
    <w:rPr>
      <w:color w:val="000080"/>
      <w:u w:val="single"/>
      <w:lang w:val="zxx" w:eastAsia="zxx" w:bidi="zxx"/>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BodyTextChar"/>
    <w:uiPriority w:val="99"/>
    <w:semiHidden/>
    <w:rsid w:val="005e78c9"/>
    <w:pPr>
      <w:tabs>
        <w:tab w:val="clear" w:pos="709"/>
        <w:tab w:val="left" w:pos="3720" w:leader="dot"/>
        <w:tab w:val="left" w:pos="3969" w:leader="none"/>
      </w:tabs>
      <w:spacing w:lineRule="auto" w:line="240" w:before="0" w:after="60"/>
      <w:ind w:left="3969" w:hanging="3969"/>
    </w:pPr>
    <w:rPr>
      <w:rFonts w:eastAsia="MS Mincho" w:cs="Times New Roman"/>
      <w:sz w:val="20"/>
      <w:szCs w:val="24"/>
      <w:lang w:val="en-US"/>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Revision">
    <w:name w:val="Revision"/>
    <w:uiPriority w:val="99"/>
    <w:semiHidden/>
    <w:qFormat/>
    <w:rsid w:val="00403304"/>
    <w:pPr>
      <w:widowControl/>
      <w:bidi w:val="0"/>
      <w:spacing w:before="0" w:after="0"/>
      <w:jc w:val="left"/>
    </w:pPr>
    <w:rPr>
      <w:rFonts w:ascii="Arial" w:hAnsi="Arial" w:eastAsia="Times New Roman" w:cs="Arial"/>
      <w:color w:val="auto"/>
      <w:kern w:val="0"/>
      <w:sz w:val="16"/>
      <w:szCs w:val="16"/>
      <w:lang w:eastAsia="nl-NL" w:val="en-GB" w:bidi="ar-SA"/>
    </w:rPr>
  </w:style>
  <w:style w:type="paragraph" w:styleId="SDSTableTextNormal" w:customStyle="1">
    <w:name w:val="SDS_TableText_Normal"/>
    <w:link w:val="SDSTableTextNormalChar"/>
    <w:uiPriority w:val="12"/>
    <w:qFormat/>
    <w:rsid w:val="00eb44fc"/>
    <w:pPr>
      <w:keepLines/>
      <w:widowControl/>
      <w:bidi w:val="0"/>
      <w:spacing w:lineRule="auto" w:line="288" w:before="0" w:after="0"/>
      <w:jc w:val="left"/>
    </w:pPr>
    <w:rPr>
      <w:rFonts w:ascii="Arial" w:hAnsi="Arial" w:eastAsia="Times New Roman" w:cs="Arial"/>
      <w:color w:val="auto"/>
      <w:kern w:val="0"/>
      <w:sz w:val="16"/>
      <w:szCs w:val="12"/>
      <w:lang w:eastAsia="nl-NL" w:val="en-GB" w:bidi="ar-SA"/>
    </w:rPr>
  </w:style>
  <w:style w:type="paragraph" w:styleId="SDSTableTextBold" w:customStyle="1">
    <w:name w:val="SDS_TableText_Bold"/>
    <w:basedOn w:val="SDSTableTextNormal"/>
    <w:link w:val="SDSTableTextBoldChar"/>
    <w:uiPriority w:val="14"/>
    <w:qFormat/>
    <w:rsid w:val="00eb44fc"/>
    <w:pPr>
      <w:keepNext w:val="true"/>
      <w:spacing w:before="40" w:after="0"/>
    </w:pPr>
    <w:rPr>
      <w:b/>
    </w:rPr>
  </w:style>
  <w:style w:type="paragraph" w:styleId="SDSTableTextHeading1" w:customStyle="1">
    <w:name w:val="SDS_TableText_Heading1"/>
    <w:link w:val="SDSTableTextHeading1Char"/>
    <w:uiPriority w:val="12"/>
    <w:qFormat/>
    <w:rsid w:val="00a53857"/>
    <w:pPr>
      <w:keepNext w:val="true"/>
      <w:keepLines/>
      <w:widowControl/>
      <w:bidi w:val="0"/>
      <w:spacing w:lineRule="auto" w:line="288" w:before="0" w:after="0"/>
      <w:jc w:val="left"/>
    </w:pPr>
    <w:rPr>
      <w:rFonts w:ascii="Arial" w:hAnsi="Arial" w:eastAsia="Times New Roman" w:cs="Arial"/>
      <w:b/>
      <w:color w:val="0070C0"/>
      <w:kern w:val="0"/>
      <w:sz w:val="18"/>
      <w:szCs w:val="16"/>
      <w:lang w:eastAsia="nl-NL" w:val="en-GB" w:bidi="ar-SA"/>
    </w:rPr>
  </w:style>
  <w:style w:type="paragraph" w:styleId="SDSTableTextHeading2" w:customStyle="1">
    <w:name w:val="SDS_TableText_Heading2"/>
    <w:link w:val="SDSTableTextHeading2Char"/>
    <w:uiPriority w:val="12"/>
    <w:qFormat/>
    <w:rsid w:val="00a53857"/>
    <w:pPr>
      <w:keepNext w:val="true"/>
      <w:keepLines/>
      <w:widowControl/>
      <w:bidi w:val="0"/>
      <w:spacing w:lineRule="auto" w:line="288" w:before="0" w:after="0"/>
      <w:jc w:val="left"/>
    </w:pPr>
    <w:rPr>
      <w:rFonts w:ascii="Arial" w:hAnsi="Arial" w:eastAsia="Times New Roman" w:cs="Arial"/>
      <w:b/>
      <w:color w:val="0070C0"/>
      <w:kern w:val="0"/>
      <w:sz w:val="16"/>
      <w:szCs w:val="16"/>
      <w:lang w:eastAsia="nl-NL" w:val="en-GB" w:bidi="ar-SA"/>
    </w:rPr>
  </w:style>
  <w:style w:type="paragraph" w:styleId="SDSTextBlankLine" w:customStyle="1">
    <w:name w:val="SDS_Text_BlankLine"/>
    <w:link w:val="SDSTextBlankLineChar"/>
    <w:uiPriority w:val="8"/>
    <w:qFormat/>
    <w:rsid w:val="00bf3303"/>
    <w:pPr>
      <w:widowControl/>
      <w:bidi w:val="0"/>
      <w:spacing w:before="0" w:after="0"/>
      <w:jc w:val="left"/>
    </w:pPr>
    <w:rPr>
      <w:rFonts w:ascii="Arial" w:hAnsi="Arial" w:eastAsia="Times New Roman" w:cs="Arial"/>
      <w:color w:val="auto"/>
      <w:kern w:val="0"/>
      <w:sz w:val="2"/>
      <w:szCs w:val="16"/>
      <w:lang w:eastAsia="nl-NL" w:val="en-GB" w:bidi="ar-SA"/>
    </w:rPr>
  </w:style>
  <w:style w:type="paragraph" w:styleId="SDSTextNormal" w:customStyle="1">
    <w:name w:val="SDS_Text_Normal"/>
    <w:link w:val="SDSTextNormalChar"/>
    <w:uiPriority w:val="5"/>
    <w:qFormat/>
    <w:rsid w:val="00be6bbd"/>
    <w:pPr>
      <w:keepLines/>
      <w:widowControl/>
      <w:bidi w:val="0"/>
      <w:spacing w:lineRule="auto" w:line="288" w:before="0" w:after="0"/>
      <w:jc w:val="left"/>
    </w:pPr>
    <w:rPr>
      <w:rFonts w:ascii="Arial" w:hAnsi="Arial" w:eastAsia="Times New Roman" w:cs="Arial"/>
      <w:color w:val="auto"/>
      <w:kern w:val="0"/>
      <w:sz w:val="16"/>
      <w:szCs w:val="16"/>
      <w:lang w:eastAsia="nl-NL" w:val="en-GB" w:bidi="ar-SA"/>
    </w:rPr>
  </w:style>
  <w:style w:type="paragraph" w:styleId="SDSTextGray" w:customStyle="1">
    <w:name w:val="SDS_Text_Gray"/>
    <w:basedOn w:val="SDSTextNormal"/>
    <w:link w:val="SDSTextGrayChar"/>
    <w:uiPriority w:val="7"/>
    <w:qFormat/>
    <w:rsid w:val="00884972"/>
    <w:pPr>
      <w:spacing w:before="120" w:after="0"/>
    </w:pPr>
    <w:rPr>
      <w:color w:val="808080"/>
    </w:rPr>
  </w:style>
  <w:style w:type="paragraph" w:styleId="SDSTextHeading1" w:customStyle="1">
    <w:name w:val="SDS_Text_Heading1"/>
    <w:link w:val="SDSTextHeading1Char"/>
    <w:uiPriority w:val="1"/>
    <w:qFormat/>
    <w:rsid w:val="004020aa"/>
    <w:pPr>
      <w:keepNext w:val="true"/>
      <w:keepLines/>
      <w:widowControl/>
      <w:pBdr>
        <w:top w:val="single" w:sz="2" w:space="3" w:color="2E74B5"/>
        <w:left w:val="single" w:sz="2" w:space="0" w:color="2E74B5"/>
        <w:bottom w:val="single" w:sz="2" w:space="3" w:color="2E74B5"/>
        <w:right w:val="single" w:sz="2" w:space="0" w:color="2E74B5"/>
      </w:pBdr>
      <w:shd w:val="clear" w:color="auto" w:fill="2E74B5" w:themeFill="accent5" w:themeFillShade="bf"/>
      <w:bidi w:val="0"/>
      <w:spacing w:before="360" w:after="120"/>
      <w:ind w:left="312" w:hanging="284"/>
      <w:jc w:val="left"/>
      <w:outlineLvl w:val="0"/>
    </w:pPr>
    <w:rPr>
      <w:rFonts w:ascii="Arial" w:hAnsi="Arial" w:eastAsia="Times New Roman" w:cs="Arial"/>
      <w:b/>
      <w:bCs/>
      <w:color w:val="FFFFFF"/>
      <w:kern w:val="0"/>
      <w:sz w:val="20"/>
      <w:szCs w:val="16"/>
      <w:lang w:val="de-DE" w:eastAsia="nl-NL" w:bidi="ar-SA"/>
    </w:rPr>
  </w:style>
  <w:style w:type="paragraph" w:styleId="SDSTextHeading2" w:customStyle="1">
    <w:name w:val="SDS_Text_Heading2"/>
    <w:link w:val="SDSTextHeading2Char"/>
    <w:uiPriority w:val="2"/>
    <w:qFormat/>
    <w:rsid w:val="00eb44fc"/>
    <w:pPr>
      <w:keepNext w:val="true"/>
      <w:keepLines/>
      <w:widowControl/>
      <w:pBdr>
        <w:top w:val="single" w:sz="2" w:space="2" w:color="9CC2E5"/>
        <w:left w:val="single" w:sz="2" w:space="0" w:color="9CC2E5"/>
        <w:bottom w:val="single" w:sz="2" w:space="2" w:color="9CC2E5"/>
        <w:right w:val="single" w:sz="2" w:space="0" w:color="9CC2E5"/>
      </w:pBdr>
      <w:shd w:val="clear" w:color="auto" w:fill="9CC2E5" w:themeFill="accent5" w:themeFillTint="99"/>
      <w:bidi w:val="0"/>
      <w:spacing w:before="120" w:after="120"/>
      <w:ind w:left="312" w:hanging="284"/>
      <w:jc w:val="left"/>
      <w:outlineLvl w:val="1"/>
    </w:pPr>
    <w:rPr>
      <w:rFonts w:ascii="Arial" w:hAnsi="Arial" w:eastAsia="Times New Roman" w:cs="Arial"/>
      <w:b/>
      <w:bCs/>
      <w:color w:val="0070C0"/>
      <w:kern w:val="0"/>
      <w:sz w:val="18"/>
      <w:szCs w:val="16"/>
      <w:lang w:val="de-DE" w:eastAsia="nl-NL" w:bidi="ar-SA"/>
    </w:rPr>
  </w:style>
  <w:style w:type="paragraph" w:styleId="SDSTextHeading3" w:customStyle="1">
    <w:name w:val="SDS_Text_Heading3"/>
    <w:link w:val="SDSTextHeading3Char"/>
    <w:uiPriority w:val="3"/>
    <w:qFormat/>
    <w:rsid w:val="00eb44fc"/>
    <w:pPr>
      <w:keepNext w:val="true"/>
      <w:keepLines/>
      <w:widowControl/>
      <w:bidi w:val="0"/>
      <w:spacing w:lineRule="auto" w:line="288" w:before="120" w:after="60"/>
      <w:ind w:left="284" w:hanging="284"/>
      <w:jc w:val="left"/>
      <w:outlineLvl w:val="2"/>
    </w:pPr>
    <w:rPr>
      <w:rFonts w:ascii="Arial" w:hAnsi="Arial" w:eastAsia="Times New Roman" w:cs="Arial"/>
      <w:b/>
      <w:bCs/>
      <w:color w:val="0070C0"/>
      <w:kern w:val="0"/>
      <w:sz w:val="16"/>
      <w:szCs w:val="16"/>
      <w:lang w:eastAsia="nl-NL" w:val="en-GB" w:bidi="ar-SA"/>
    </w:rPr>
  </w:style>
  <w:style w:type="paragraph" w:styleId="SDSTextHeading4" w:customStyle="1">
    <w:name w:val="SDS_Text_Heading4"/>
    <w:link w:val="SDSTextHeading4Char"/>
    <w:uiPriority w:val="4"/>
    <w:qFormat/>
    <w:rsid w:val="002600e7"/>
    <w:pPr>
      <w:keepNext w:val="true"/>
      <w:keepLines/>
      <w:widowControl/>
      <w:bidi w:val="0"/>
      <w:spacing w:lineRule="auto" w:line="288" w:before="120" w:after="60"/>
      <w:ind w:left="284" w:hanging="284"/>
      <w:jc w:val="left"/>
      <w:outlineLvl w:val="3"/>
    </w:pPr>
    <w:rPr>
      <w:rFonts w:ascii="Arial" w:hAnsi="Arial" w:eastAsia="Times New Roman" w:cs="Arial"/>
      <w:b/>
      <w:color w:val="0070C0"/>
      <w:kern w:val="0"/>
      <w:sz w:val="16"/>
      <w:szCs w:val="16"/>
      <w:lang w:eastAsia="nl-NL" w:val="en-GB" w:bidi="ar-SA"/>
    </w:rPr>
  </w:style>
  <w:style w:type="paragraph" w:styleId="SDSTableTextColonColumn" w:customStyle="1">
    <w:name w:val="SDS_TableText_ColonColumn"/>
    <w:basedOn w:val="SDSTableTextNormal"/>
    <w:link w:val="SDSTableTextColonColumnChar"/>
    <w:uiPriority w:val="16"/>
    <w:qFormat/>
    <w:rsid w:val="00394fde"/>
    <w:pPr>
      <w:jc w:val="center"/>
    </w:pPr>
    <w:rPr/>
  </w:style>
  <w:style w:type="paragraph" w:styleId="SDSTableTextHeader" w:customStyle="1">
    <w:name w:val="SDS_TableText_Header"/>
    <w:link w:val="SDSTableTextHeaderChar"/>
    <w:uiPriority w:val="19"/>
    <w:qFormat/>
    <w:rsid w:val="00c055bf"/>
    <w:pPr>
      <w:widowControl/>
      <w:bidi w:val="0"/>
      <w:spacing w:before="0" w:after="0"/>
      <w:jc w:val="left"/>
    </w:pPr>
    <w:rPr>
      <w:rFonts w:ascii="Arial" w:hAnsi="Arial" w:eastAsia="Times New Roman" w:cs="Arial"/>
      <w:color w:val="auto"/>
      <w:kern w:val="0"/>
      <w:sz w:val="14"/>
      <w:szCs w:val="14"/>
      <w:lang w:eastAsia="nl-NL" w:val="en-GB" w:bidi="ar-SA"/>
    </w:rPr>
  </w:style>
  <w:style w:type="paragraph" w:styleId="SDSTableTextFooter" w:customStyle="1">
    <w:name w:val="SDS_TableText_Footer"/>
    <w:uiPriority w:val="20"/>
    <w:qFormat/>
    <w:rsid w:val="003d2219"/>
    <w:pPr>
      <w:widowControl/>
      <w:bidi w:val="0"/>
      <w:spacing w:before="0" w:after="0"/>
      <w:jc w:val="left"/>
    </w:pPr>
    <w:rPr>
      <w:rFonts w:ascii="Arial" w:hAnsi="Arial" w:eastAsia="Times New Roman" w:cs="Arial"/>
      <w:color w:val="auto"/>
      <w:kern w:val="0"/>
      <w:sz w:val="14"/>
      <w:szCs w:val="14"/>
      <w:lang w:eastAsia="nl-NL" w:val="en-GB" w:bidi="ar-SA"/>
    </w:rPr>
  </w:style>
  <w:style w:type="paragraph" w:styleId="Entteetpieddepage">
    <w:name w:val="En-tête et pied de page"/>
    <w:basedOn w:val="Normal"/>
    <w:qFormat/>
    <w:pPr/>
    <w:rPr/>
  </w:style>
  <w:style w:type="paragraph" w:styleId="Entte">
    <w:name w:val="Header"/>
    <w:basedOn w:val="Normal"/>
    <w:link w:val="HeaderChar"/>
    <w:uiPriority w:val="99"/>
    <w:semiHidden/>
    <w:rsid w:val="00d7333c"/>
    <w:pPr>
      <w:tabs>
        <w:tab w:val="clear" w:pos="709"/>
        <w:tab w:val="center" w:pos="4513" w:leader="none"/>
        <w:tab w:val="right" w:pos="9026" w:leader="none"/>
      </w:tabs>
      <w:spacing w:lineRule="auto" w:line="240"/>
    </w:pPr>
    <w:rPr/>
  </w:style>
  <w:style w:type="paragraph" w:styleId="Pieddepage">
    <w:name w:val="Footer"/>
    <w:basedOn w:val="Normal"/>
    <w:link w:val="FooterChar"/>
    <w:uiPriority w:val="99"/>
    <w:semiHidden/>
    <w:rsid w:val="00d7333c"/>
    <w:pPr>
      <w:tabs>
        <w:tab w:val="clear" w:pos="709"/>
        <w:tab w:val="center" w:pos="4513" w:leader="none"/>
        <w:tab w:val="right" w:pos="9026" w:leader="none"/>
      </w:tabs>
    </w:pPr>
    <w:rPr/>
  </w:style>
  <w:style w:type="paragraph" w:styleId="BalloonText">
    <w:name w:val="Balloon Text"/>
    <w:basedOn w:val="Normal"/>
    <w:link w:val="BalloonTextChar"/>
    <w:uiPriority w:val="99"/>
    <w:semiHidden/>
    <w:qFormat/>
    <w:rsid w:val="00240fb0"/>
    <w:pPr>
      <w:spacing w:lineRule="auto" w:line="24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SDSTableWithBordersWithHeaderRow">
    <w:name w:val="SDS_Table_WithBorders_WithHeaderRow"/>
    <w:basedOn w:val="TableNormal"/>
    <w:rsid w:val="00bf3303"/>
    <w:tblP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9254e1"/>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sz="12" w:space="0"/>
        </w:tcBorders>
      </w:tcPr>
    </w:tblStylePr>
    <w:tblStylePr w:type="lastRow">
      <w:rPr>
        <w:b/>
        <w:bCs/>
      </w:rPr>
      <w:tblPr/>
      <w:tcPr>
        <w:tcBorders>
          <w:top w:val="double" w:color="8EAADB" w:themeColor="accen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 TargetMode="External"/><Relationship Id="rId3" Type="http://schemas.openxmlformats.org/officeDocument/2006/relationships/hyperlink" Target="http://Site internet"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LibreOffice/7.2.5.2$Windows_X86_64 LibreOffice_project/499f9727c189e6ef3471021d6132d4c694f357e5</Application>
  <AppVersion>15.0000</AppVersion>
  <Pages>20</Pages>
  <Words>3498</Words>
  <Characters>20849</Characters>
  <CharactersWithSpaces>23558</CharactersWithSpaces>
  <Paragraphs>815</Paragraphs>
  <Company>Lisam Systems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2023-10-10T09:18:00Z</dcterms:created>
  <dc:creator>Lisam Systems</dc:creator>
  <dc:description/>
  <dc:language>fr-FR</dc:language>
  <cp:lastModifiedBy>Dorina Feldrihan</cp:lastModifiedBy>
  <cp:lastPrinted>2019-08-29T12:09:00Z</cp:lastPrinted>
  <dcterms:modified xsi:type="dcterms:W3CDTF">2023-10-18T12:23:00Z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