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5.2% - Tubéreuse prestigieuse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ALDEHYDE HEXYL CINNAMIQUE(101-86-0), HYDROXYCITRONELLAL(107-75-5), LINALOL(78-70-6), SALICYLATE BENZYLE(118-58-1).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SALICYLATE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118-58-1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204-262-9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01-2119969442-31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0,988</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Aquatic Chronic 3, H412</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HEXYL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101-86-0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202-983-3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01-2119533092-50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0,52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 H400</w:t>
              <w:br/>
              <w:t>Aquatic Chronic 2, H411</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HYDROXYCITRONELLAL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107-75-5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203-518-7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01-2119973482-31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0,442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0,130286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0,052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Acute Tox. 4 (par inhalation), H332</w:t>
              <w:br/>
              <w:t>Acute Tox. 4 (par voie orale), H302</w:t>
              <w:br/>
              <w:t>Eye Irrit. 2, H319</w:t>
              <w:br/>
              <w:t>Skin Irrit. 2, H315</w:t>
              <w:br/>
              <w:t>Skin Sens. 1A, H317</w:t>
              <w:br/>
              <w:t>STOT SE 3, H335</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rPr>
          <w:tblHeader w:val="true"/>
        </w:trPr>
        <w:tc>
          <w:tcPr>
            <w:tcW w:w="10490" w:type="dxa"/>
            <w:gridSpan w:val="3"/>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Limites de concentration spécifiques:</w:t>
            </w:r>
          </w:p>
        </w:tc>
      </w:tr>
      <w:tr>
        <w:trPr>
          <w:tblHeader w:val="true"/>
        </w:trPr>
        <w:tc>
          <w:tcPr>
            <w:tcW w:w="3969"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Nom</w:t>
            </w:r>
          </w:p>
        </w:tc>
        <w:tc>
          <w:tcPr>
            <w:tcW w:w="2268" w:type="dxa"/>
            <w:tcBorders/>
            <w:shd w:color="auto" w:fill="BDD6EE" w:themeFill="accent5" w:themeFillTint="66"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Identificateur de produit</w:t>
            </w:r>
          </w:p>
        </w:tc>
        <w:tc>
          <w:tcPr>
            <w:tcW w:w="4253" w:type="dxa"/>
            <w:tcBorders/>
            <w:shd w:color="auto" w:fill="BDD6EE" w:themeFill="accent5" w:themeFillTint="66" w:val="clear"/>
          </w:tcPr>
          <w:p>
            <w:pPr>
              <w:pStyle w:val="SDSTableTextHeading2"/>
              <w:widowControl/>
              <w:spacing w:before="0" w:after="0"/>
              <w:jc w:val="left"/>
              <w:rPr>
                <w:lang w:val="fr-BE"/>
              </w:rPr>
            </w:pPr>
            <w:r>
              <w:rPr>
                <w:rFonts w:eastAsia="Times New Roman" w:cs="Arial"/>
                <w:kern w:val="0"/>
                <w:sz w:val="16"/>
                <w:szCs w:val="16"/>
                <w:lang w:val="fr-BE" w:bidi="ar-SA"/>
              </w:rPr>
              <w:t>Limites de concentration spécifiques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ISOEUGENOL</w:t>
            </w:r>
          </w:p>
        </w:tc>
        <w:tc>
          <w:tcPr>
            <w:tcW w:w="226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97-54-1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202-590-7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604-094-00-X</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01-2120223682-61-0010</w:t>
            </w:r>
          </w:p>
        </w:tc>
        <w:tc>
          <w:tcPr>
            <w:tcW w:w="425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(0,01 ≤ C ≤ 100) Skin Sens. 1A,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Floral.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3100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1500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1912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6519"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Peut irriter les voies respiratoires.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5.2% - Tubéreuse prestigieuse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HYDROXYCITRONELLAL (107-75-5)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5.2% - Tubéreuse prestigieuse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HEXYL CINNAMIQUE (101-86-0)</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HYDROXYCITRONELLAL (107-75-5)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ISOEUGENOL (97-54-1)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extNormal"/>
              <w:widowControl/>
              <w:spacing w:before="0" w:after="0"/>
              <w:jc w:val="left"/>
              <w:rPr>
                <w:lang w:val="pt-BR"/>
              </w:rPr>
            </w:pPr>
            <w:r>
              <w:rPr>
                <w:rFonts w:eastAsia="Times New Roman" w:cs="Arial"/>
                <w:kern w:val="0"/>
                <w:sz w:val="16"/>
                <w:szCs w:val="16"/>
                <w:lang w:val="en-GB" w:bidi="ar-SA"/>
              </w:rPr>
              <w:t>N° ONU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ONU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w:t>
            </w:r>
          </w:p>
        </w:tc>
      </w:tr>
    </w:tbl>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(SALICYLATE BENZYLE), 9, III,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(SALICYLATE BENZYLE),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Environmentally hazardous substance, liquid, n.o.s. (SALICYLATE BENZYLE),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(SALICYLATE BENZYLE), 9, 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Description document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UN 3082 MATIÈRE DANGEREUSE DU POINT DE VUE DE L'ENVIRONNEMENT, LIQUIDE, N.S.A. (SALICYLATE BENZYLE), 9, III</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Étiquettes de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III</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l’environnement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Polluant marin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 xml:space="preserve">Code de classification (ADR) </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spéciales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Dispositions relatives à l‘emballage en commun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restriction en tunnels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IBC03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Quantité nette max. pour quantité limitée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30kgG</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9L</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3686"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Code de classification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M6</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MP19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90</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inhalation)</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Inhalation),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ALDEHYDE HEXYL CINNAMIQUE(101-86-0), HYDROXYCITRONELLAL(107-75-5), LINALOL(78-70-6), SALICYLATE BENZYLE(118-58-1).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inhalation.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H335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irriter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STOT SE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 Exposition unique, catégorie 3, Irritation des voies respiratoires</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12</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12</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5.2% - Tubéreuse prestigieuse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5.2% - Tubéreuse prestigieuse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23</Pages>
  <Words>3557</Words>
  <Characters>21376</Characters>
  <CharactersWithSpaces>24103</CharactersWithSpaces>
  <Paragraphs>854</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