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5.4% - Mangue et papaye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CITRONELLOL(106-22-9), DIHYDROFLORIFONE(57378-68-4), GERANIOL(106-24-1), LIMONENE DROIT (+100)(5989-27-5), LINALOL(78-70-6).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LINALOL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78-70-6</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201-134-4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603-235-00-2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0,99929295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LIMONENE DROIT (+100)</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5989-27-5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227-813-5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601-096-00-2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01-2119529223-47-0007</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0,80498205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 H226</w:t>
              <w:br/>
              <w:t>Skin Irrit. 2, H315</w:t>
              <w:br/>
              <w:t>Skin Sens. 1B, H317</w:t>
              <w:br/>
              <w:t>Asp. Tox. 1, H304</w:t>
              <w:br/>
              <w:t>Aquatic Acute 1, H400</w:t>
              <w:br/>
              <w:t>Aquatic Chronic 3, H412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CITRONELLOL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106-22-9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203-375-0</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0,19162575</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GERANIOL</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106-24-1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203-377-1</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Index: 603-241-00-5</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01-2119552430-49-0000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0,13743</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 H315</w:t>
              <w:br/>
              <w:t>Eye Dam. 1, H318</w:t>
              <w:br/>
              <w:t>Skin Sens. 1, H317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DIHYDROFLORIFONE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57378-68-4</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260-709-8</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01-2119535122-53-0000</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0,0729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1, H410</w:t>
              <w:br/>
              <w:t>Skin Irrit. 2, H315</w:t>
              <w:br/>
              <w:t>Skin Sens. 1A, H317</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Fruitée.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DIHYDROFLORIFONE (57378-68-4)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1400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Viscosité, cinématique</w:t>
            </w:r>
          </w:p>
        </w:tc>
        <w:tc>
          <w:tcPr>
            <w:tcW w:w="6519" w:type="dxa"/>
            <w:tcBorders/>
            <w:shd w:color="auto" w:fill="auto" w:val="clear"/>
          </w:tcPr>
          <w:p>
            <w:pPr>
              <w:pStyle w:val="SDSTableTextNormal"/>
              <w:widowControl/>
              <w:spacing w:before="0" w:after="0"/>
              <w:jc w:val="left"/>
              <w:rPr>
                <w:lang w:val="en-AU"/>
              </w:rPr>
            </w:pPr>
            <w:r>
              <w:rPr>
                <w:rFonts w:eastAsia="Times New Roman" w:cs="Arial"/>
                <w:kern w:val="0"/>
                <w:sz w:val="16"/>
                <w:lang w:val="en-GB" w:eastAsia="ja-JP" w:bidi="ar-SA"/>
              </w:rPr>
              <w:t>1,3 mm²/s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5.4% - Mangue et papaye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CITRONELLOL (106-22-9)</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DIHYDROFLORIFONE (57378-68-4)</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GERANIOL (106-24-1)</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5.4% - Mangue et papaye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LIMONENE DROIT (+100) (5989-27-5)</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Pow)</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4,57</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LINALOL (78-70-6)</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orale)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Acute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Asp. Tox.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CITRONELLOL(106-22-9), DIHYDROFLORIFONE(57378-68-4), GERANIOL(106-24-1), LIMONENE DROIT (+100)(5989-27-5), LINALOL(78-70-6).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Dam.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Flam. Liq.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Liquides inflammables,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H226</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Liquide et vapeurs inflammables.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en cas d’ingestion.</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H304</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être mortel en cas d’ingestion et de pénétration dans les voies respiratoires.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H400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H410</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1B</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5.4% - Mangue et papaye</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5.4% - Mangue et papaye</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7</Pages>
  <Words>2881</Words>
  <Characters>17731</Characters>
  <CharactersWithSpaces>20012</CharactersWithSpaces>
  <Paragraphs>608</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Dorina Feldrihan</cp:lastModifiedBy>
  <cp:lastPrinted>2019-08-29T12:09:00Z</cp:lastPrinted>
  <dcterms:modified xsi:type="dcterms:W3CDTF">2023-10-18T12:23:00Z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