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9.5% - Vanille épicée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ALDEHYDE CINNAMIQUE(104-55-2), COUMARINE(91-64-5).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COUMARINE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91-64-5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202-086-7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01-2119943756-26</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104-55-2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203-213-9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01-2119935242-45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0,09975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Gourmand. Epicée.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9.5% - Vanille épicée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9.5% - Vanille épicée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3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ALDEHYDE CINNAMIQUE(104-55-2), COUMARINE(91-64-5).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9.5% - Vanille épicée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9.5% - Vanille épicée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2628</Words>
  <Characters>16133</Characters>
  <CharactersWithSpaces>18223</CharactersWithSpaces>
  <Paragraphs>546</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