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Hibiscus à 7,1%</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p>
      <w:pPr>
        <w:pStyle w:val="SDSTextNormal"/>
        <w:rPr>
          <w:rFonts w:ascii="Cambria" w:hAnsi="Cambria"/>
        </w:rPr>
      </w:pPr>
      <w:r>
        <w:rPr>
          <w:rFonts w:ascii="Cambria" w:hAnsi="Cambria"/>
          <w:noProof/>
        </w:rPr>
        <w:t>Non classé</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FLORALOZONE(67634-14-4), TETRAHYDRO LINALOL(78-69-3).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TETRAHYDRO 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78-69-3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201-133-9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01-2119454788-21-0001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0,994</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FLORALOZONE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67634-14-4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266-818-7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01-2120758796-34-XXXX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0,2485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2, H411</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ACETYL ISO EUGENOL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93-29-8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202-236-1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01-2120223683-59-0004</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0,12425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ACETYL ISO EUGENOL (93-29-8)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3450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Hibiscus à 7,1%</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ACETYL ISO EUGENOL93-29-8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Hibiscus à 7,1%</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ACETYL ISO EUGENOL93-29-8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10491"/>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shd w:val="clear" w:color="auto" w:fill="auto"/>
          </w:tcPr>
          <w:tbl>
            <w:tblPr>
              <w:tblStyle w:val="SDSTableWithBordersWithHeaderRow"/>
              <w:tblW w:w="10487" w:type="dxa"/>
              <w:jc w:val="left"/>
              <w:tblInd w:w="0" w:type="dxa"/>
              <w:tblLayout w:type="fixed"/>
              <w:tblCellMar>
                <w:top w:w="57" w:type="dxa"/>
                <w:left w:w="57" w:type="dxa"/>
                <w:bottom w:w="57" w:type="dxa"/>
                <w:right w:w="57" w:type="dxa"/>
              </w:tblCellMar>
              <w:tblLook w:val="04A0"/>
            </w:tblPr>
            <w:tblGrid>
              <w:gridCol w:w="1141"/>
              <w:gridCol w:w="852"/>
              <w:gridCol w:w="1982"/>
              <w:gridCol w:w="3685"/>
              <w:gridCol w:w="1418"/>
              <w:gridCol w:w="1409"/>
            </w:tblGrid>
            <w:tr>
              <w:tblPrEx>
                <w:tblW w:w="10487" w:type="dxa"/>
                <w:jc w:val="left"/>
                <w:tblInd w:w="0" w:type="dxa"/>
                <w:tblLayout w:type="fixed"/>
                <w:tblCellMar>
                  <w:top w:w="57" w:type="dxa"/>
                  <w:left w:w="57" w:type="dxa"/>
                  <w:bottom w:w="57" w:type="dxa"/>
                  <w:right w:w="57" w:type="dxa"/>
                </w:tblCellMar>
                <w:tblLook w:val="04A0"/>
              </w:tblPrEx>
              <w:trPr>
                <w:jc w:val="left"/>
              </w:trPr>
              <w:tc>
                <w:tcPr>
                  <w:tcW w:w="10486" w:type="dxa"/>
                  <w:gridSpan w:val="6"/>
                  <w:tcBorders>
                    <w:top w:val="single" w:sz="4" w:space="0" w:color="CACACA"/>
                    <w:left w:val="single" w:sz="4" w:space="0" w:color="CACACA"/>
                    <w:bottom w:val="single" w:sz="4" w:space="0" w:color="CACACA"/>
                    <w:right w:val="single" w:sz="4" w:space="0" w:color="CACACA"/>
                  </w:tcBorders>
                  <w:shd w:val="clear" w:color="auto" w:fill="CACACA"/>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Contrôle de la qualité de l’air (TA Luft)</w:t>
                  </w:r>
                </w:p>
              </w:tc>
            </w:tr>
            <w:tr>
              <w:tblPrEx>
                <w:tblW w:w="10487" w:type="dxa"/>
                <w:jc w:val="left"/>
                <w:tblInd w:w="0" w:type="dxa"/>
                <w:tblLayout w:type="fixed"/>
                <w:tblCellMar>
                  <w:top w:w="57" w:type="dxa"/>
                  <w:left w:w="57" w:type="dxa"/>
                  <w:bottom w:w="57" w:type="dxa"/>
                  <w:right w:w="57" w:type="dxa"/>
                </w:tblCellMar>
                <w:tblLook w:val="04A0"/>
              </w:tblPrEx>
              <w:trPr>
                <w:jc w:val="left"/>
              </w:trPr>
              <w:tc>
                <w:tcPr>
                  <w:tcW w:w="1140"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w:t>
                  </w:r>
                </w:p>
              </w:tc>
              <w:tc>
                <w:tcPr>
                  <w:tcW w:w="852"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w:t>
                  </w:r>
                </w:p>
              </w:tc>
              <w:tc>
                <w:tcPr>
                  <w:tcW w:w="1982"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Applicable sur</w:t>
                  </w:r>
                </w:p>
              </w:tc>
              <w:tc>
                <w:tcPr>
                  <w:tcW w:w="3685"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local</w:t>
                  </w:r>
                </w:p>
              </w:tc>
              <w:tc>
                <w:tcPr>
                  <w:tcW w:w="14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Débit massique maximal</w:t>
                  </w:r>
                </w:p>
              </w:tc>
              <w:tc>
                <w:tcPr>
                  <w:tcW w:w="140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Concentration massique maximale</w:t>
                  </w:r>
                </w:p>
              </w:tc>
            </w:tr>
          </w:tbl>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FLORALOZONE(67634-14-4), TETRAHYDRO LINALOL(78-69-3).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07/05/2026 (Date d’émission)</w:t>
          </w:r>
        </w:p>
      </w:tc>
      <w:tc>
        <w:tcPr>
          <w:tcW w:w="3459" w:type="dxa"/>
          <w:tcBorders>
            <w:top w:val="single" w:sz="4" w:space="0" w:color="000000"/>
          </w:tcBorders>
        </w:tcPr>
        <w:p>
          <w:pPr>
            <w:pStyle w:val="SDSTableTextFooter"/>
            <w:widowControl w:val="0"/>
            <w:jc w:val="center"/>
          </w:pPr>
          <w:r>
            <w:rPr>
              <w:noProof/>
            </w:rPr>
            <w:t>EU - fr</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9</w:t>
          </w:r>
          <w:r>
            <w:fldChar w:fldCharType="end"/>
          </w:r>
          <w:r>
            <w:t>/</w:t>
          </w:r>
          <w:r>
            <w:fldChar w:fldCharType="begin"/>
          </w:r>
          <w:r>
            <w:instrText xml:space="preserve"> NUMPAGES </w:instrText>
          </w:r>
          <w:r>
            <w:fldChar w:fldCharType="separate"/>
          </w:r>
          <w:r>
            <w:t>9</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07/05/2026 (Date d’émission)</w:t>
          </w:r>
        </w:p>
      </w:tc>
      <w:tc>
        <w:tcPr>
          <w:tcW w:w="3459" w:type="dxa"/>
          <w:tcBorders>
            <w:top w:val="single" w:sz="4" w:space="0" w:color="000000"/>
          </w:tcBorders>
        </w:tcPr>
        <w:p>
          <w:pPr>
            <w:pStyle w:val="SDSTableTextFooter"/>
            <w:widowControl w:val="0"/>
            <w:jc w:val="center"/>
          </w:pPr>
          <w:r>
            <w:rPr>
              <w:noProof/>
            </w:rPr>
            <w:t>EU - fr</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9</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Hibiscus à 7,1%</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Hibiscus à 7,1%</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Date d’émission: 07/05/2026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9</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