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Mani à 3.8%</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p>
      <w:pPr>
        <w:pStyle w:val="SDSTextNormal"/>
        <w:rPr>
          <w:rFonts w:ascii="Cambria" w:hAnsi="Cambria"/>
        </w:rPr>
      </w:pPr>
      <w:r>
        <w:rPr>
          <w:rFonts w:ascii="Cambria" w:hAnsi="Cambria"/>
          <w:noProof/>
        </w:rPr>
        <w:t>Non classé</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5"/>
        <w:gridCol w:w="285"/>
        <w:gridCol w:w="6519"/>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Phrases EUH</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EUH208 - Contient ACETATE LINALYLE(115-95-7), EUCALYPTOL(470-82-6), LINALOL(78-70-6), (R)-p-mentha-1,8-diène; d-limonène(5989-27-5), NERAL CRU(5392-40-5). Peut produire une réaction allergique.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115-95-7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204-116-4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01-2119454789-19-0001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0,9937</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 H319</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0,77102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8028-48-6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232-433-8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01-2119493353-35-0014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0,76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 H317</w:t>
              <w:br/>
              <w:t>Asp. Tox. 1, H304</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(R)-p-mentha-1,8-diène; d-limonène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0,7286139</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0,6198902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EUCALYPTOL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470-82-6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207-431-5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01-2119967772-24-0006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0,266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NERAL CRU</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5392-40-5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226-394-6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605-019-00-3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0,2014</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Skin Sens. 1,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considéré comme dangereux dans des conditions normales d’utilisation.</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EUCALYPTOL (470-82-6)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2480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Mani à 3.8%</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NERAL CRU5392-40-5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Mani à 3.8%</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NERAL CRU5392-40-5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10491"/>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shd w:val="clear" w:color="auto" w:fill="auto"/>
          </w:tcPr>
          <w:tbl>
            <w:tblPr>
              <w:tblStyle w:val="SDSTableWithBordersWithHeaderRow"/>
              <w:tblW w:w="10487" w:type="dxa"/>
              <w:jc w:val="left"/>
              <w:tblInd w:w="0" w:type="dxa"/>
              <w:tblLayout w:type="fixed"/>
              <w:tblCellMar>
                <w:top w:w="57" w:type="dxa"/>
                <w:left w:w="57" w:type="dxa"/>
                <w:bottom w:w="57" w:type="dxa"/>
                <w:right w:w="57" w:type="dxa"/>
              </w:tblCellMar>
              <w:tblLook w:val="04A0"/>
            </w:tblPr>
            <w:tblGrid>
              <w:gridCol w:w="1141"/>
              <w:gridCol w:w="852"/>
              <w:gridCol w:w="1982"/>
              <w:gridCol w:w="3685"/>
              <w:gridCol w:w="1418"/>
              <w:gridCol w:w="1409"/>
            </w:tblGrid>
            <w:tr>
              <w:tblPrEx>
                <w:tblW w:w="10487" w:type="dxa"/>
                <w:jc w:val="left"/>
                <w:tblInd w:w="0" w:type="dxa"/>
                <w:tblLayout w:type="fixed"/>
                <w:tblCellMar>
                  <w:top w:w="57" w:type="dxa"/>
                  <w:left w:w="57" w:type="dxa"/>
                  <w:bottom w:w="57" w:type="dxa"/>
                  <w:right w:w="57" w:type="dxa"/>
                </w:tblCellMar>
                <w:tblLook w:val="04A0"/>
              </w:tblPrEx>
              <w:trPr>
                <w:jc w:val="left"/>
              </w:trPr>
              <w:tc>
                <w:tcPr>
                  <w:tcW w:w="10486" w:type="dxa"/>
                  <w:gridSpan w:val="6"/>
                  <w:tcBorders>
                    <w:top w:val="single" w:sz="4" w:space="0" w:color="CACACA"/>
                    <w:left w:val="single" w:sz="4" w:space="0" w:color="CACACA"/>
                    <w:bottom w:val="single" w:sz="4" w:space="0" w:color="CACACA"/>
                    <w:right w:val="single" w:sz="4" w:space="0" w:color="CACACA"/>
                  </w:tcBorders>
                  <w:shd w:val="clear" w:color="auto" w:fill="CACACA"/>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Contrôle de la qualité de l’air (TA Luft)</w:t>
                  </w:r>
                </w:p>
              </w:tc>
            </w:tr>
            <w:tr>
              <w:tblPrEx>
                <w:tblW w:w="10487" w:type="dxa"/>
                <w:jc w:val="left"/>
                <w:tblInd w:w="0" w:type="dxa"/>
                <w:tblLayout w:type="fixed"/>
                <w:tblCellMar>
                  <w:top w:w="57" w:type="dxa"/>
                  <w:left w:w="57" w:type="dxa"/>
                  <w:bottom w:w="57" w:type="dxa"/>
                  <w:right w:w="57" w:type="dxa"/>
                </w:tblCellMar>
                <w:tblLook w:val="04A0"/>
              </w:tblPrEx>
              <w:trPr>
                <w:jc w:val="left"/>
              </w:trPr>
              <w:tc>
                <w:tcPr>
                  <w:tcW w:w="1140"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w:t>
                  </w:r>
                </w:p>
              </w:tc>
              <w:tc>
                <w:tcPr>
                  <w:tcW w:w="85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w:t>
                  </w:r>
                </w:p>
              </w:tc>
              <w:tc>
                <w:tcPr>
                  <w:tcW w:w="1982"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Applicable sur</w:t>
                  </w:r>
                </w:p>
              </w:tc>
              <w:tc>
                <w:tcPr>
                  <w:tcW w:w="3685"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local</w:t>
                  </w:r>
                </w:p>
              </w:tc>
              <w:tc>
                <w:tcPr>
                  <w:tcW w:w="14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Débit massique maximal</w:t>
                  </w:r>
                </w:p>
              </w:tc>
              <w:tc>
                <w:tcPr>
                  <w:tcW w:w="140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Concentration massique maximale</w:t>
                  </w:r>
                </w:p>
              </w:tc>
            </w:tr>
          </w:tbl>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EUH208</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ACETATE LINALYLE(115-95-7), EUCALYPTOL(470-82-6), LINALOL(78-70-6), (R)-p-mentha-1,8-diène; d-limonène(5989-27-5), NERAL CRU(5392-40-5). Peut produire une réaction allergique.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8"/>
      <w:footerReference w:type="default" r:id="rId9"/>
      <w:headerReference w:type="first" r:id="rId10"/>
      <w:footerReference w:type="first" r:id="rId11"/>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10</w:t>
          </w:r>
          <w:r>
            <w:fldChar w:fldCharType="end"/>
          </w:r>
          <w:r>
            <w:t>/</w:t>
          </w:r>
          <w:r>
            <w:fldChar w:fldCharType="begin"/>
          </w:r>
          <w:r>
            <w:instrText xml:space="preserve"> NUMPAGES </w:instrText>
          </w:r>
          <w:r>
            <w:fldChar w:fldCharType="separate"/>
          </w:r>
          <w:r>
            <w:t>10</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EU - fr</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10</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Mani à 3.8%</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3"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Mani à 3.8%</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10</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