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Ajna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ISO E SUPER(54464-57-2), ISOCYCLO CITRAL(1335-66-6), PINENE ALPHA(80-56-8), TRIPLAL(68039-49-6).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ISO BORNYLE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125-12-2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204-727-6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01-2119901856-34-XXXX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4,89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0,85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68039-49-6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268-264-1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605-043-00-4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01-2119982384-28-0001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PINENE ALPHA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80-56-8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201-291-9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01-2119979519-16-0000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0,1752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1, H410</w:t>
              <w:br/>
              <w:t>Asp. Tox. 1, H304</w:t>
              <w:br/>
              <w:t>Flam. Liq. 3, H226</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ISOCYCLO CITRAL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1335-66-6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215-638-7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605-043-00-4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CAMPHENE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79-92-5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201-234-8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01-2119446293-40-XXXX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br/>
              <w:t>Eye Irrit. 2, H319</w:t>
              <w:br/>
              <w:t>Flam. Sol. 2, H228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alpha-Cedrene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469-61-4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207-418-4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0,027803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 H304</w:t>
              <w:br/>
              <w:t>Aquatic Acute 1, H400 (M=10)</w:t>
              <w:br/>
              <w:t>Aquatic Chronic 1, H410 (M=10)</w:t>
              <w:br/>
              <w:t>Skin Irrit. 2, H315</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ISOCYCLO CITRAL (1335-66-6)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3220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TRIPLAL (68039-49-6)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2330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Ajna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CAMPHENE79-92-5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ALPHA80-56-8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Ajna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CAMPHENE79-92-5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ALPHA80-56-8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Sol.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solides inflammables,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solide inflammable.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ISO E SUPER(54464-57-2), ISOCYCLO CITRAL(1335-66-6), PINENE ALPHA(80-56-8), TRIPLAL(68039-49-6).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11</w:t>
          </w:r>
          <w:r>
            <w:fldChar w:fldCharType="end"/>
          </w:r>
          <w:r>
            <w:t>/</w:t>
          </w:r>
          <w:r>
            <w:fldChar w:fldCharType="begin"/>
          </w:r>
          <w:r>
            <w:instrText xml:space="preserve"> NUMPAGES </w:instrText>
          </w:r>
          <w:r>
            <w:fldChar w:fldCharType="separate"/>
          </w:r>
          <w:r>
            <w:t>11</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11</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Ajna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Ajna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26/03/2026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