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Balance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CEDRYLE; ACETATE GERANYLE; CANTHOXAL; CITRONELLOL; COUMARINE; FLORALOZONE; GERANIOL; HYDROXYCITRONELLAL; LINALOL; (R)-p-mentha-1,8-diène; d-limonène; VERTILIONE; METHYLIONONE GAMMA; ISO E SUPER; SALICYLATE BENZYLE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b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tbl>
      <w:tblPr>
        <w:tblStyle w:val="SDSTableWithBordersWithHeaderRow"/>
        <w:tblW w:w="10495" w:type="dxa"/>
        <w:jc w:val="left"/>
        <w:tblInd w:w="0" w:type="dxa"/>
        <w:tblLayout w:type="fixed"/>
        <w:tblCellMar>
          <w:top w:w="57" w:type="dxa"/>
          <w:left w:w="57" w:type="dxa"/>
          <w:bottom w:w="57" w:type="dxa"/>
          <w:right w:w="57" w:type="dxa"/>
        </w:tblCellMar>
        <w:tblLook w:val="04A0"/>
      </w:tblPr>
      <w:tblGrid>
        <w:gridCol w:w="3921"/>
        <w:gridCol w:w="6440"/>
        <w:gridCol w:w="134"/>
      </w:tblGrid>
      <w:tr>
        <w:tblPrEx>
          <w:tblW w:w="10495" w:type="dxa"/>
          <w:jc w:val="left"/>
          <w:tblInd w:w="0" w:type="dxa"/>
          <w:tblLayout w:type="fixed"/>
          <w:tblCellMar>
            <w:top w:w="57" w:type="dxa"/>
            <w:left w:w="57" w:type="dxa"/>
            <w:bottom w:w="57" w:type="dxa"/>
            <w:right w:w="57" w:type="dxa"/>
          </w:tblCellMar>
          <w:tblLook w:val="04A0"/>
        </w:tblPrEx>
        <w:trPr>
          <w:trHeight w:val="20"/>
          <w:tblHeader/>
          <w:jc w:val="left"/>
        </w:trPr>
        <w:tc>
          <w:tcPr>
            <w:tcW w:w="10495"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5"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 (106-24-1)</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La substance n’apparaît pas dans la liste établie conformément à l’article 59, paragraphe 1, de REACH comme ayant des propriétés perturbant le système endocrinien, ou n’est pas reconnue comme ayant des propriétés perturbant le système endocrinien conformément aux critères définis dans le Règlement délégué (UE) 2017/2100 de la Commission  ou le Règlement (UE) 2018/605 de la Commission</w:t>
            </w:r>
          </w:p>
        </w:tc>
        <w:tc>
          <w:tcPr>
            <w:tcW w:w="7" w:type="dxa"/>
            <w:tcBorders>
              <w:top w:val="nil"/>
              <w:left w:val="nil"/>
              <w:bottom w:val="nil"/>
              <w:right w:val="nil"/>
            </w:tcBorders>
            <w:shd w:val="clear" w:color="auto" w:fill="auto"/>
          </w:tcPr>
          <w:p>
            <w:pPr>
              <w:widowControl/>
              <w:spacing w:before="0" w:after="0"/>
              <w:jc w:val="left"/>
              <w:rPr>
                <w:rFonts w:ascii="Cambria" w:eastAsia="Times New Roman" w:hAnsi="Cambria" w:cs="Arial"/>
                <w:kern w:val="0"/>
                <w:sz w:val="16"/>
                <w:lang w:val="en-GB" w:bidi="ar-SA"/>
              </w:rPr>
            </w:pPr>
          </w:p>
        </w:tc>
      </w:tr>
    </w:tbl>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118-58-1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204-262-9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2,08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ETHYLENE BRASSYLATE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105-95-3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203-347-8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01-2119976314-33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1,45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VERTILIONE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32388-55-9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251-020-3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01-2119969651-28</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METHYLIONONE GAMMA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127-51-5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204-846-3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01-2119471851-35-0000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0,400075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FIXOLIDE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1506-02-1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216-133-4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 xml:space="preserve">01-2119539433-40/-- </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COUMARINE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91-64-5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202-086-7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01-2119943756-26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GERANYLE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105-87-3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203-341-5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01-2119973480-35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Skin Irrit. 2, H315</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CANTHOXAL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5462-06-6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226-749-5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603-241-00-5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01-2119552430-49-0000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0,200075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Dam. 1, H318</w:t>
              <w:b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HYDROXYCITRONELLAL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107-75-5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203-518-7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01-2119973482-31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CEDRYLE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77-54-3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201-036-1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Exempté d'enregistrement REACH (&lt; 1T/an) / Exempted of REACH registration (&lt; 1T/year)</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0,145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0,14175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67634-14-4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266-818-7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01-2120758796-34-XXXX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2, H411</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Boisée. Poudré.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CANTHOXAL (5462-06-6)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4000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FIXOLIDE (1506-02-1)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1000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GERANIOL (106-24-1)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3600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 (32388-55-9)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 (118-58-1)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2227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Balance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CEDRYLE77-54-3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GERANYLE105-87-3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ETHYLENE BRASSYLATE105-95-3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FIXOLIDE1506-02-1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HYDROXYCITRONELLAL107-75-5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Balance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CEDRYLE77-54-3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GERANYLE105-87-3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ETHYLENE BRASSYLATE105-95-3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FIXOLIDE1506-02-1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HYDROXYCITRONELLAL107-75-5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((R)-p-mentha-1,8-diène; d-limonène),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1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EAC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•3Z</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A97, A158, A197, A215</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Dam.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de graves lésions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footerReference w:type="default" r:id="rId12"/>
      <w:headerReference w:type="first" r:id="rId13"/>
      <w:footerReference w:type="first" r:id="rId14"/>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15</w:t>
          </w:r>
          <w:r>
            <w:fldChar w:fldCharType="end"/>
          </w:r>
          <w:r>
            <w:t>/</w:t>
          </w:r>
          <w:r>
            <w:fldChar w:fldCharType="begin"/>
          </w:r>
          <w:r>
            <w:instrText xml:space="preserve"> NUMPAGES </w:instrText>
          </w:r>
          <w:r>
            <w:fldChar w:fldCharType="separate"/>
          </w:r>
          <w:r>
            <w:t>15</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15</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Balance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17"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Balance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07/05/2026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15</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