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Cancer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ALCOOL ANISIQUE(105-13-5).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ETHYLENE BRASSYLATE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105-95-3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203-347-8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01-2119976314-33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1,34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ALCOOL ANISIQUE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105-13-5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203-273-6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01-2119934494-33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ANISIQUE (105-13-5)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Cancer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ANISIQUE105-13-5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ETHYLENE BRASSYLATE105-95-3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Cancer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ANISIQUE105-13-5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ETHYLENE BRASSYLATE105-95-3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NG - Non dangereux</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ALCOOL ANISIQUE(105-13-5).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9</w:t>
          </w:r>
          <w:r>
            <w:fldChar w:fldCharType="end"/>
          </w:r>
          <w:r>
            <w:t>/</w:t>
          </w:r>
          <w:r>
            <w:fldChar w:fldCharType="begin"/>
          </w:r>
          <w:r>
            <w:instrText xml:space="preserve"> NUMPAGES </w:instrText>
          </w:r>
          <w:r>
            <w:fldChar w:fldCharType="separate"/>
          </w:r>
          <w:r>
            <w:t>9</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9</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Cancer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conforme au Règlement (CE) N° 1907/2006 (REACH) tel que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Cancer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conforme au Règlement (CE) N° 1907/2006 (REACH) tel que modifié par le Règlement (UE) 2020/878</w:t>
          </w:r>
        </w:p>
        <w:p>
          <w:pPr>
            <w:pStyle w:val="SDSTableTextHeader"/>
            <w:widowControl w:val="0"/>
            <w:rPr>
              <w:rFonts w:ascii="Cambria" w:hAnsi="Cambria"/>
            </w:rPr>
          </w:pPr>
          <w:r>
            <w:rPr>
              <w:rFonts w:ascii="Cambria" w:hAnsi="Cambria"/>
              <w:noProof/>
            </w:rPr>
            <w:t>Date d’émission: 28/04/2026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