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Gémeaux à 10%</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Fabricant</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Amyl cinnamic aldehyde (2-benzylideneheptanal)(122-40-7), (R)-p-mentha-1,8-diène; d-limonène(5989-27-5), PINENE BETA(127-91-3).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LIMONENE DROIT (+100)</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0,8</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(R)-p-mentha-1,8-diène; d-limonène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5989-27-5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227-813-5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Index</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601-096-00-2</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01-2119529223-47-0007</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0,756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 H226</w:t>
              <w:br/>
              <w:t>Skin Irrit. 2, H315</w:t>
              <w:br/>
              <w:t>Skin Sens. 1B, H317</w:t>
              <w:br/>
              <w:t>Asp. Tox. 1, H304</w:t>
              <w:br/>
              <w:t>Aquatic Acute 1, H400</w:t>
              <w:br/>
              <w:t>Aquatic Chronic 3, H412</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AMYL CINNAMIQUE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122-40-7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204-541-5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01-2119978288-18-, 01-2120763171-61</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Amyl cinnamic aldehyde (2-benzylideneheptanal)</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122-40-7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204-541-5</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0,248225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PATCHOULY CLAIR  ESSENCE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84238-39-1</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282-493-4</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0,22</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 H317</w:t>
              <w:br/>
              <w:t>Asp. Tox. 1, H304</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PINENE BETA</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127-91-3</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204-872-5</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01-2119519230-54-0000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0,165</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 H304</w:t>
              <w:br/>
              <w:t>Aquatic Acute 1, H400</w:t>
              <w:br/>
              <w:t>Aquatic Chronic 1, H410</w:t>
              <w:br/>
              <w:t>Flam. Liq. 3, H226</w:t>
              <w:br/>
              <w:t>Skin Irrit. 2, H315</w:t>
              <w:br/>
              <w:t>Skin Sens. 1B,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Niveau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AMYL CINNAMIQUE (122-40-7)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3730 mg/kg</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Amyl cinnamic aldehyde (2-benzylideneheptanal) (122-40-7)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DL50 orale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3730 mg/kg</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020"/>
      </w:tblPr>
      <w:tblGrid>
        <w:gridCol w:w="3969"/>
        <w:gridCol w:w="6520"/>
      </w:tblGrid>
      <w:tr>
        <w:tblPrEx>
          <w:tblW w:w="10489" w:type="dxa"/>
          <w:jc w:val="left"/>
          <w:tblInd w:w="0" w:type="dxa"/>
          <w:tblLayout w:type="fixed"/>
          <w:tblCellMar>
            <w:top w:w="57" w:type="dxa"/>
            <w:left w:w="57" w:type="dxa"/>
            <w:bottom w:w="57" w:type="dxa"/>
            <w:right w:w="57" w:type="dxa"/>
          </w:tblCellMar>
          <w:tblLook w:val="002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 (5989-27-5)</w:t>
            </w:r>
          </w:p>
        </w:tc>
      </w:tr>
      <w:tr>
        <w:tblPrEx>
          <w:tblW w:w="10489" w:type="dxa"/>
          <w:jc w:val="left"/>
          <w:tblInd w:w="0" w:type="dxa"/>
          <w:tblLayout w:type="fixed"/>
          <w:tblCellMar>
            <w:top w:w="57" w:type="dxa"/>
            <w:left w:w="57" w:type="dxa"/>
            <w:bottom w:w="57" w:type="dxa"/>
            <w:right w:w="57" w:type="dxa"/>
          </w:tblCellMar>
          <w:tblLook w:val="002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Viscosité, cinématique</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eastAsia="ja-JP" w:bidi="ar-SA"/>
              </w:rPr>
              <w:t>1,3 mm²/s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Gémeaux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AMYL CINNAMIQUE122-40-7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PATCHOULY CLAIR  ESSENCE84238-39-1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BETA127-91-3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Gémeaux à 10%</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ALDEHYDE AMYL CINNAMIQUE122-40-7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LIMONENE DROIT (+100)5989-27-5</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Pow)</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PATCHOULY CLAIR  ESSENCE84238-39-1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PINENE BETA127-91-3</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1049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réglementé</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p>
      <w:pPr>
        <w:pStyle w:val="SDSTextNormal"/>
        <w:rPr>
          <w:rFonts w:ascii="Cambria" w:hAnsi="Cambria"/>
        </w:rPr>
      </w:pPr>
      <w:r>
        <w:rPr>
          <w:rFonts w:ascii="Cambria" w:hAnsi="Cambria"/>
          <w:noProof/>
        </w:rPr>
        <w:t>Ne contient pas de substance(s) listée(s) dans l’Annexe XVII de REACH (Conditions de restriction)</w:t>
      </w:r>
    </w:p>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Autriche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Ordonnance sur les liquides inflammables (VbF)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Autodetection</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Restrictions professionnelles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mères actives (MuSchG).</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Respecter les limitations conformément à la Loi sur la protection des jeunes au travail (JArbSchG).</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danger pour l’eau (WGK)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WGK 3, Très dangereux pour l’eau (Classification selon la AwSV, Annexe 1).</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Ecraser l’entrée correspondante (12. BImSchV)</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Non soumis à/au Arrêté concernant les incidents majeurs (12. BImSchV)</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Pays-Bas</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kankerverwekkende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mutagene stoffen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Borstvoeding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Vruchtbaarheid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SZW-lijst van reprotoxische stoffen – Ontwikkeling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 des composants n’est listé</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gridSpan w:val="3"/>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Suisse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 de stockage (LK)</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NG - Non dangereux</w:t>
            </w:r>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Asp. Tox.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Flam. Liq.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Liquides inflammables,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H226</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Liquide et vapeurs inflammables.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H304</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être mortel en cas d’ingestion et de pénétration dans les voies respiratoires.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Amyl cinnamic aldehyde (2-benzylideneheptanal)(122-40-7), (R)-p-mentha-1,8-diène; d-limonène(5989-27-5), PINENE BETA(127-91-3).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8"/>
      <w:footerReference w:type="default" r:id="rId9"/>
      <w:headerReference w:type="first" r:id="rId10"/>
      <w:footerReference w:type="first" r:id="rId11"/>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10</w:t>
          </w:r>
          <w:r>
            <w:fldChar w:fldCharType="end"/>
          </w:r>
          <w:r>
            <w:t>/</w:t>
          </w:r>
          <w:r>
            <w:fldChar w:fldCharType="begin"/>
          </w:r>
          <w:r>
            <w:instrText xml:space="preserve"> NUMPAGES </w:instrText>
          </w:r>
          <w:r>
            <w:fldChar w:fldCharType="separate"/>
          </w:r>
          <w:r>
            <w:t>10</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29/04/2026 (Date d’émission)</w:t>
          </w:r>
        </w:p>
      </w:tc>
      <w:tc>
        <w:tcPr>
          <w:tcW w:w="3459" w:type="dxa"/>
          <w:tcBorders>
            <w:top w:val="single" w:sz="4" w:space="0" w:color="000000"/>
          </w:tcBorders>
        </w:tcPr>
        <w:p>
          <w:pPr>
            <w:pStyle w:val="SDSTableTextFooter"/>
            <w:widowControl w:val="0"/>
            <w:jc w:val="center"/>
          </w:pPr>
          <w:r>
            <w:rPr>
              <w:noProof/>
            </w:rPr>
            <w:t>FR (français)</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10</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Gémeaux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conforme au Règlement (CE) N° 1907/2006 (REACH) tel que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Gémeaux à 10%</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conforme au Règlement (CE) N° 1907/2006 (REACH) tel que modifié par le Règlement (UE) 2020/878</w:t>
          </w:r>
        </w:p>
        <w:p>
          <w:pPr>
            <w:pStyle w:val="SDSTableTextHeader"/>
            <w:widowControl w:val="0"/>
            <w:rPr>
              <w:rFonts w:ascii="Cambria" w:hAnsi="Cambria"/>
            </w:rPr>
          </w:pPr>
          <w:r>
            <w:rPr>
              <w:rFonts w:ascii="Cambria" w:hAnsi="Cambria"/>
              <w:noProof/>
            </w:rPr>
            <w:t>Date d’émission: 29/04/2026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10</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