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Musc et cèdre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Fournisseur</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rPr>
          <w:rFonts w:ascii="Cambria" w:hAnsi="Cambria"/>
        </w:rPr>
      </w:pPr>
      <w:r>
        <w:rPr>
          <w:rFonts w:ascii="Cambria" w:hAnsi="Cambria"/>
          <w:noProof/>
        </w:rPr>
        <w:t>Toxique pour les organismes aquatiques, entraîne des effets néfastes à long terme.</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GHS09</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H411 - Toxique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P391 - Recueillir le produit répandu.</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ALDEHYDE C12 MNA(110-41-8), CEDRAMBER(19870-74-7), ISO E SUPER(54464-57-2), KOAVONE(81786-73-4), PINENE ALPHA(80-56-8), VERTILIONE(32388-55-9).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VERTILIONE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32388-55-9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251-020-3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01-2119969651-28</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KOAVONE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81786-73-4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279-822-9</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CEDRAMBER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19870-74-7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243-384-7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01-2120228335-61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ALPHA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80-56-8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201-291-9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01-2119979519-16-0000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0,1208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br/>
              <w:t>Asp. Tox. 1, H304</w:t>
              <w:br/>
              <w:t>Flam. Liq. 3, H226</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C12 MNA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110-41-8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203-765-0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01-2119969443-29-0001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alpha-Cedrene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469-61-4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207-418-4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0,02085225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 H304</w:t>
              <w:br/>
              <w:t>Aquatic Acute 1, H400 (M=10)</w:t>
              <w:br/>
              <w:t>Aquatic Chronic 1, H410 (M=10)</w:t>
              <w:br/>
              <w:t>Skin Irrit. 2, H315</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Transporter la personne à l’extérieur et la maintenir dans une position où elle peut confortablement respirer. 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Laver la peau avec beaucoup d’eau. 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les yeux à l’eau par mesure de précaution. 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Appeler un centre antipoison ou un médecin en cas de malaise. 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rPr>
          <w:rFonts w:ascii="Cambria" w:hAnsi="Cambria"/>
        </w:rPr>
      </w:pPr>
      <w:r>
        <w:rPr>
          <w:rFonts w:ascii="Cambria" w:hAnsi="Cambria"/>
          <w:noProof/>
        </w:rPr>
        <w:t>Traitement symptomatique.</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de décomposition dangereux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Dégagement possible de fumées toxiques.</w:t>
            </w:r>
          </w:p>
        </w:tc>
      </w:tr>
    </w:tbl>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intervenir sans un équipement de protection adapté. Appareil de protection respiratoire autonome isolant. Protection complète du corps. 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Ventiler la zone de déversement. 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intervenir sans un équipement de protection adapté. Pour plus d’informations, se reporter à la rubrique 8 : "Contrôle de l’exposition-protection individuelle". 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Pour la rétention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Recueillir le produit répandu.</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Ramasser mécaniquement le produit. Sur le sol, balayer ou pelleter dans des conteneurs de rejet adéquats. Réduire à un minimum la production de poussières. Stocker à l’écart des autres matières.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les matières ou résidus solides dans un centre autorisé.</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Pour plus d’informations, se reporter à la rubrique 13. 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Assurer une bonne ventilation du poste de travail. Porter un équipement de protection individuel. Se laver les mains et toute autre zone exposée avec un savon doux et de l’eau, avant de manger, de boire, de fumer, et avant de quitter le travail. Assurer une bonne ventilation de la zone de travail afin d’éviter la formation de vapeurs.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boire ou fumer en manipulant ce produit. Se laver les mains après toute manipulation.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Stocker dans un endroit bien ventilé. Tenir au frais. 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Contrôles techniques appropriés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Assurer une bonne ventilation du poste de travail.</w:t>
            </w:r>
          </w:p>
        </w:tc>
      </w:tr>
    </w:tbl>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r>
              <w:rPr>
                <w:rFonts w:ascii="Cambria" w:eastAsia="Times New Roman" w:hAnsi="Cambria" w:cs="Arial"/>
                <w:kern w:val="0"/>
                <w:sz w:val="16"/>
                <w:lang w:val="en-GB" w:bidi="ar-SA"/>
              </w:rPr>
              <w:drawing>
                <wp:inline>
                  <wp:extent cx="635000" cy="635000"/>
                  <wp:docPr id="100005" name="" descr="Lunette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r>
              <w:rPr>
                <w:rFonts w:ascii="Cambria" w:eastAsia="Times New Roman" w:hAnsi="Cambria" w:cs="Arial"/>
                <w:kern w:val="0"/>
                <w:sz w:val="16"/>
                <w:lang w:val="en-GB" w:bidi="ar-SA"/>
              </w:rPr>
              <w:drawing>
                <wp:inline>
                  <wp:extent cx="635000" cy="635000"/>
                  <wp:docPr id="100007"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de protection. 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 la peau et du corps</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vêtement de protection approprié</w:t>
            </w:r>
          </w:p>
        </w:tc>
      </w:tr>
    </w:tbl>
    <w:p>
      <w:pPr>
        <w:pStyle w:val="SDSTextNormal"/>
        <w:rPr>
          <w:rFonts w:ascii="Cambria" w:hAnsi="Cambria"/>
        </w:rPr>
      </w:pP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Gants de protection. 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 cas de ventilation insuffisante, porter un appareil respiratoire approprié. 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Contrôles d’exposition liés à la protection de l’environnement</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Epicée. Oriental.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rPr>
          <w:rFonts w:ascii="Cambria" w:hAnsi="Cambria"/>
        </w:rPr>
      </w:pPr>
      <w:r>
        <w:rPr>
          <w:rFonts w:ascii="Cambria" w:hAnsi="Cambria"/>
          <w:noProof/>
        </w:rPr>
        <w:t>Le produit n’est pas réactif dans les conditions normales d’utilisation, de stockage et de transport.</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Stable dans les conditions normales. 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Pas de réaction dangereuse connue dans les conditions normales d’emploi. 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Aucune dans des conditions de stockage et de manipulation recommandées (voir rubrique 7). 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Aucun produit de décomposition dangereux ne devrait être généré dans les conditions normales de stockage et d’emploi. 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 (32388-55-9)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Musc et cèdre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Musc et cèdre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C12 MNA110-41-8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Musc et cèdre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C12 MNA110-41-8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Méthodes de traitement des déchets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le contenu/récipient conformément aux consignes de tri du collecteur agréé.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SOLIDE,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SOLIDE,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solid,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SOLIDE,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SOLIDE,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 MATIÈRE DANGEREUSE DU POINT DE VUE DE L'ENVIRONNEMENT, SOLIDE, N.S.A. (ETHYLENE BRASSYLATE),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 MATIÈRE DANGEREUSE DU POINT DE VUE DE L'ENVIRONNEMENT, SOLIDE, N.S.A. (ETHYLENE BRASSYLATE), 9, III, POLLUANT MARIN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 Environmentally hazardous substance, solid, n.o.s. (ETHYLENE BRASSYLATE),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 MATIÈRE DANGEREUSE DU POINT DE VUE DE L'ENVIRONNEMENT, SOLIDE, N.S.A. (ETHYLENE BRASSYLATE),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3077 MATIÈRE DANGEREUSE DU POINT DE VUE DE L'ENVIRONNEMENT, SOLIDE, N.S.A. (ETHYLENE BRASSYLATE),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11"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2"/>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15"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2"/>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19"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2"/>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23"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2"/>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2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27"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2"/>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Oui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Oui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M7</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5kg</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P002, IBC08, LP02,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PP12, B3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T1, BK1, BK2, BK3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TP33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SGAV, 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VC1, VC2</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29"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274, 335, 375, 966, 967, 969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kg</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LP02, P002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IBC08</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BK1, BK2, BK3, T1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TP33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Arrimage et manutention (Code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SW23</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Y956</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956</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400kg</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956</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400kg</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A179,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M7</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kg</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 B**</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 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Exigences supplémentaires/Observations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 Uniquement à l'état fondu. ** Pour le transport en vrac, voir aussi le 7.1.4.1. *** Uniquement en cas de transport en vrac.</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M7</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5kg</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P002, IBC08, LP02,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PP12, B3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T1, BK1, BK2, BK3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TP33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SGAV, 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VC1, VC2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CE11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ALDEHYDE C12 MNA(110-41-8), CEDRAMBER(19870-74-7), ISO E SUPER(54464-57-2), KOAVONE(81786-73-4), PINENE ALPHA(80-56-8), VERTILIONE(32388-55-9).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4"/>
      <w:footerReference w:type="default" r:id="rId15"/>
      <w:headerReference w:type="first" r:id="rId16"/>
      <w:footerReference w:type="first" r:id="rId17"/>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17/03/2026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13</w:t>
          </w:r>
          <w:r>
            <w:fldChar w:fldCharType="end"/>
          </w:r>
          <w:r>
            <w:t>/</w:t>
          </w:r>
          <w:r>
            <w:fldChar w:fldCharType="begin"/>
          </w:r>
          <w:r>
            <w:instrText xml:space="preserve"> NUMPAGES </w:instrText>
          </w:r>
          <w:r>
            <w:fldChar w:fldCharType="separate"/>
          </w:r>
          <w:r>
            <w:t>13</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17/03/2026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13</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Musc et cèdre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3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Musc et cèdre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17/03/2026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