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Musty</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 ALDEHYDE HEXYL CINNAMIQUE; CITRONELLOL; HYDROXYCITRONELLAL; LINALOL; Isoeugenol</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140-11-4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205-399-7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01-2119638272-42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0,8816946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HYDROXYCITRONELLAL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107-75-5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203-518-7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0,66027298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ANISIQUE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123-11-5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204-602-6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01-2119977101-43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0,440044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AMYL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122-40-7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204-541-5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01-2119978288-18-, 01-2120763171-61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0,1592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0,11096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2268"/>
        <w:gridCol w:w="4253"/>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Limites de concentration spécifiques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Nom</w:t>
            </w:r>
          </w:p>
        </w:tc>
        <w:tc>
          <w:tcPr>
            <w:tcW w:w="226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Identificateur de produit</w:t>
            </w:r>
          </w:p>
        </w:tc>
        <w:tc>
          <w:tcPr>
            <w:tcW w:w="425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Limites de concentration spécifiques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bl>
    <w:p>
      <w:pPr>
        <w:pStyle w:val="SDSTextNormal"/>
        <w:rPr>
          <w:rFonts w:ascii="Cambria" w:hAnsi="Cambria"/>
        </w:rPr>
      </w:pPr>
      <w:r>
        <w:t>Texte intégral des mentions H et EUH: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 Doux.</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150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BENZYLE (140-11-4)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AMYL CINNAMIQUE (122-40-7)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3730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ANISIQUE (123-11-5)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Musty</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BENZYLE140-11-4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AMYL CINNAMIQUE122-40-7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ANISIQUE123-11-5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HYDROXYCITRONELLAL107-75-5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Musty</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BENZYLE140-11-4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AMYL CINNAMIQUE122-40-7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ANISIQUE123-11-5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HYDROXYCITRONELLAL107-75-5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STOT SE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 Exposition unique, catégorie 3, Irritation des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9"/>
      <w:footerReference w:type="default" r:id="rId10"/>
      <w:headerReference w:type="first" r:id="rId11"/>
      <w:footerReference w:type="first" r:id="rId12"/>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18/03/2026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18/03/2026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Musty</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Musty</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18/03/2026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theme" Target="theme/theme1.xml"/><Relationship Id="rId14"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hyperlink" Target="http://Site internet"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