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Saha à 6.7%</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p>
      <w:pPr>
        <w:pStyle w:val="SDSTextNormal"/>
        <w:rPr>
          <w:rFonts w:ascii="Cambria" w:hAnsi="Cambria"/>
        </w:rPr>
      </w:pPr>
      <w:r>
        <w:rPr>
          <w:rFonts w:ascii="Cambria" w:hAnsi="Cambria"/>
          <w:noProof/>
        </w:rPr>
        <w:t>Non classé</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ACETATE LINALYLE(115-95-7), ALDEHYDE CINNAMIQUE(104-55-2), CITRONELLOL(106-22-9), COUMARINE(91-64-5), FLORALOZONE(67634-14-4), GERANIOL(106-24-1), Isoeugenol(97-54-1), LINALOL(78-70-6), METHYLIONONE GAMMA(127-51-5).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tbl>
      <w:tblPr>
        <w:tblStyle w:val="SDSTableWithBordersWithHeaderRow"/>
        <w:tblW w:w="10495" w:type="dxa"/>
        <w:jc w:val="left"/>
        <w:tblInd w:w="0" w:type="dxa"/>
        <w:tblLayout w:type="fixed"/>
        <w:tblCellMar>
          <w:top w:w="57" w:type="dxa"/>
          <w:left w:w="57" w:type="dxa"/>
          <w:bottom w:w="57" w:type="dxa"/>
          <w:right w:w="57" w:type="dxa"/>
        </w:tblCellMar>
        <w:tblLook w:val="04A0"/>
      </w:tblPr>
      <w:tblGrid>
        <w:gridCol w:w="3921"/>
        <w:gridCol w:w="6440"/>
        <w:gridCol w:w="134"/>
      </w:tblGrid>
      <w:tr>
        <w:tblPrEx>
          <w:tblW w:w="10495" w:type="dxa"/>
          <w:jc w:val="left"/>
          <w:tblInd w:w="0" w:type="dxa"/>
          <w:tblLayout w:type="fixed"/>
          <w:tblCellMar>
            <w:top w:w="57" w:type="dxa"/>
            <w:left w:w="57" w:type="dxa"/>
            <w:bottom w:w="57" w:type="dxa"/>
            <w:right w:w="57" w:type="dxa"/>
          </w:tblCellMar>
          <w:tblLook w:val="04A0"/>
        </w:tblPrEx>
        <w:trPr>
          <w:trHeight w:val="20"/>
          <w:tblHeader/>
          <w:jc w:val="left"/>
        </w:trPr>
        <w:tc>
          <w:tcPr>
            <w:tcW w:w="10495" w:type="dxa"/>
            <w:gridSpan w:val="3"/>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Composant</w:t>
            </w:r>
          </w:p>
        </w:tc>
      </w:tr>
      <w:tr>
        <w:tblPrEx>
          <w:tblW w:w="10495" w:type="dxa"/>
          <w:jc w:val="left"/>
          <w:tblInd w:w="0" w:type="dxa"/>
          <w:tblLayout w:type="fixed"/>
          <w:tblCellMar>
            <w:top w:w="57" w:type="dxa"/>
            <w:left w:w="57" w:type="dxa"/>
            <w:bottom w:w="57" w:type="dxa"/>
            <w:right w:w="57" w:type="dxa"/>
          </w:tblCellMar>
          <w:tblLook w:val="04A0"/>
        </w:tblPrEx>
        <w:trPr>
          <w:trHeight w:val="20"/>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GERANIOL (106-24-1)</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La substance n’apparaît pas dans la liste établie conformément à l’article 59, paragraphe 1, de REACH comme ayant des propriétés perturbant le système endocrinien, ou n’est pas reconnue comme ayant des propriétés perturbant le système endocrinien conformément aux critères définis dans le Règlement délégué (UE) 2017/2100 de la Commission  ou le Règlement (UE) 2018/605 de la Commission</w:t>
            </w:r>
          </w:p>
        </w:tc>
        <w:tc>
          <w:tcPr>
            <w:tcW w:w="7" w:type="dxa"/>
            <w:tcBorders>
              <w:top w:val="nil"/>
              <w:left w:val="nil"/>
              <w:bottom w:val="nil"/>
              <w:right w:val="nil"/>
            </w:tcBorders>
            <w:shd w:val="clear" w:color="auto" w:fill="auto"/>
          </w:tcPr>
          <w:p>
            <w:pPr>
              <w:widowControl/>
              <w:spacing w:before="0" w:after="0"/>
              <w:jc w:val="left"/>
              <w:rPr>
                <w:rFonts w:ascii="Cambria" w:eastAsia="Times New Roman" w:hAnsi="Cambria" w:cs="Arial"/>
                <w:kern w:val="0"/>
                <w:sz w:val="16"/>
                <w:lang w:val="en-GB" w:bidi="ar-SA"/>
              </w:rPr>
            </w:pPr>
          </w:p>
        </w:tc>
      </w:tr>
    </w:tbl>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0,67046218275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COUMARINE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91-64-5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202-086-7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01-2119943756-26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0,25125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LINALYLE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115-95-7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204-116-4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01-2119454789-19-0001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0,1876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 H319</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CITRONELLOL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106-22-9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203-375-0</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01-2119453995-23-0000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0,1641812328875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67634-14-4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266-818-7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01-2120758796-34-XXXX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0,11055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2, H411</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GERANIOL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106-24-1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203-377-1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603-241-00-5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01-2119552430-49-0000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0,1044691578875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Dam. 1, H318</w:t>
              <w:br/>
              <w:t>Skin Sens. 1,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METHYLIONONE GAMMA</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127-51-5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204-846-3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01-2119471851-35-0000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0,1005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0,01005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01-2120223682-61-0010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0,01005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Acute Tox. 4 (par voie cutanée), H312</w:t>
              <w:br/>
              <w:t>Acute Tox. 4 (par inhalation), H332</w:t>
              <w:br/>
              <w:t>Skin Irrit. 2, H315</w:t>
              <w:br/>
              <w:t>Eye Irrit. 2, H319</w:t>
              <w:br/>
              <w:t>Skin Sens. 1A, H317</w:t>
              <w:br/>
              <w:t>STOT SE 3, H335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0,00999975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Acute Tox. 4 (par voie cutanée), H312</w:t>
              <w:br/>
              <w:t>Acute Tox. 4 (par inhalation), H332</w:t>
              <w:br/>
              <w:t>Skin Irrit. 2, H315</w:t>
              <w:br/>
              <w:t>Eye Irrit. 2, H319</w:t>
              <w:br/>
              <w:t>Skin Sens. 1A, H317</w:t>
              <w:br/>
              <w:t>STOT SE 3, H335</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3969"/>
        <w:gridCol w:w="2268"/>
        <w:gridCol w:w="4253"/>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90" w:type="dxa"/>
            <w:gridSpan w:val="3"/>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Limites de concentration spécifiques</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2"/>
              <w:widowControl/>
              <w:spacing w:before="0" w:after="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Nom</w:t>
            </w:r>
          </w:p>
        </w:tc>
        <w:tc>
          <w:tcPr>
            <w:tcW w:w="226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2"/>
              <w:widowControl/>
              <w:spacing w:before="0" w:after="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Identificateur de produit</w:t>
            </w:r>
          </w:p>
        </w:tc>
        <w:tc>
          <w:tcPr>
            <w:tcW w:w="4253"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2"/>
              <w:widowControl/>
              <w:spacing w:before="0" w:after="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Limites de concentration spécifiques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01-2120223682-61-0010</w:t>
            </w:r>
          </w:p>
        </w:tc>
        <w:tc>
          <w:tcPr>
            <w:tcW w:w="425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 ≤ C ≤ 100) Skin Sens. 1A; H317</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tc>
        <w:tc>
          <w:tcPr>
            <w:tcW w:w="425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 ≤ C ≤ 100) Skin Sens. 1A; H317</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CITRONELLOL (106-22-9)</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3450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2650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GERANIOL (106-24-1)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3600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542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1912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542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1912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irriter les voies respiratoires.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irriter les voies respiratoires.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Saha à 6.7%</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METHYLIONONE GAMMA127-51-5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Saha à 6.7%</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METHYLIONONE GAMMA127-51-5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10491"/>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tbl>
            <w:tblPr>
              <w:tblStyle w:val="SDSTableWithBordersWithHeaderRow"/>
              <w:tblW w:w="10487" w:type="dxa"/>
              <w:jc w:val="left"/>
              <w:tblInd w:w="0" w:type="dxa"/>
              <w:tblLayout w:type="fixed"/>
              <w:tblCellMar>
                <w:top w:w="57" w:type="dxa"/>
                <w:left w:w="57" w:type="dxa"/>
                <w:bottom w:w="57" w:type="dxa"/>
                <w:right w:w="57" w:type="dxa"/>
              </w:tblCellMar>
              <w:tblLook w:val="04A0"/>
            </w:tblPr>
            <w:tblGrid>
              <w:gridCol w:w="1141"/>
              <w:gridCol w:w="852"/>
              <w:gridCol w:w="1982"/>
              <w:gridCol w:w="3685"/>
              <w:gridCol w:w="1418"/>
              <w:gridCol w:w="1409"/>
            </w:tblGrid>
            <w:tr>
              <w:tblPrEx>
                <w:tblW w:w="10487" w:type="dxa"/>
                <w:jc w:val="left"/>
                <w:tblInd w:w="0" w:type="dxa"/>
                <w:tblLayout w:type="fixed"/>
                <w:tblCellMar>
                  <w:top w:w="57" w:type="dxa"/>
                  <w:left w:w="57" w:type="dxa"/>
                  <w:bottom w:w="57" w:type="dxa"/>
                  <w:right w:w="57" w:type="dxa"/>
                </w:tblCellMar>
                <w:tblLook w:val="04A0"/>
              </w:tblPrEx>
              <w:trPr>
                <w:jc w:val="left"/>
              </w:trPr>
              <w:tc>
                <w:tcPr>
                  <w:tcW w:w="10486" w:type="dxa"/>
                  <w:gridSpan w:val="6"/>
                  <w:tcBorders>
                    <w:top w:val="single" w:sz="4" w:space="0" w:color="CACACA"/>
                    <w:left w:val="single" w:sz="4" w:space="0" w:color="CACACA"/>
                    <w:bottom w:val="single" w:sz="4" w:space="0" w:color="CACACA"/>
                    <w:right w:val="single" w:sz="4" w:space="0" w:color="CACACA"/>
                  </w:tcBorders>
                  <w:shd w:val="clear" w:color="auto" w:fill="CACACA"/>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Contrôle de la qualité de l’air (TA Luft)</w:t>
                  </w:r>
                </w:p>
              </w:tc>
            </w:tr>
            <w:tr>
              <w:tblPrEx>
                <w:tblW w:w="10487" w:type="dxa"/>
                <w:jc w:val="left"/>
                <w:tblInd w:w="0" w:type="dxa"/>
                <w:tblLayout w:type="fixed"/>
                <w:tblCellMar>
                  <w:top w:w="57" w:type="dxa"/>
                  <w:left w:w="57" w:type="dxa"/>
                  <w:bottom w:w="57" w:type="dxa"/>
                  <w:right w:w="57" w:type="dxa"/>
                </w:tblCellMar>
                <w:tblLook w:val="04A0"/>
              </w:tblPrEx>
              <w:trPr>
                <w:jc w:val="left"/>
              </w:trPr>
              <w:tc>
                <w:tcPr>
                  <w:tcW w:w="1140"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w:t>
                  </w:r>
                </w:p>
              </w:tc>
              <w:tc>
                <w:tcPr>
                  <w:tcW w:w="85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w:t>
                  </w:r>
                </w:p>
              </w:tc>
              <w:tc>
                <w:tcPr>
                  <w:tcW w:w="198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Applicable sur</w:t>
                  </w:r>
                </w:p>
              </w:tc>
              <w:tc>
                <w:tcPr>
                  <w:tcW w:w="3685"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local</w:t>
                  </w:r>
                </w:p>
              </w:tc>
              <w:tc>
                <w:tcPr>
                  <w:tcW w:w="14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Débit massique maximal</w:t>
                  </w:r>
                </w:p>
              </w:tc>
              <w:tc>
                <w:tcPr>
                  <w:tcW w:w="140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Concentration massique maximale</w:t>
                  </w:r>
                </w:p>
              </w:tc>
            </w:tr>
          </w:tbl>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inhalation)</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Inhalation),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Dam.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STOT SE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 Exposition unique, catégorie 3, Irritation des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de graves lésions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H332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inhalation.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H335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irriter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ACETATE LINALYLE(115-95-7), ALDEHYDE CINNAMIQUE(104-55-2), CITRONELLOL(106-22-9), COUMARINE(91-64-5), FLORALOZONE(67634-14-4), GERANIOL(106-24-1), Isoeugenol(97-54-1), LINALOL(78-70-6), METHYLIONONE GAMMA(127-51-5).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11</w:t>
          </w:r>
          <w:r>
            <w:fldChar w:fldCharType="end"/>
          </w:r>
          <w:r>
            <w:t>/</w:t>
          </w:r>
          <w:r>
            <w:fldChar w:fldCharType="begin"/>
          </w:r>
          <w:r>
            <w:instrText xml:space="preserve"> NUMPAGES </w:instrText>
          </w:r>
          <w:r>
            <w:fldChar w:fldCharType="separate"/>
          </w:r>
          <w:r>
            <w:t>11</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11</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Saha à 6.7%</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Saha à 6.7%</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26/03/2026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ableTextHeading2Char">
    <w:name w:val="SDS_TableText_Heading2 Char"/>
    <w:link w:val="SDSTableTextHeading2"/>
    <w:uiPriority w:val="12"/>
    <w:qFormat/>
    <w:rsid w:val="00A53857"/>
    <w:rPr>
      <w:rFonts w:ascii="Arial" w:hAnsi="Arial" w:cs="Arial"/>
      <w:b/>
      <w:color w:val="0070C0"/>
      <w:sz w:val="16"/>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ableTextHeading2">
    <w:name w:val="SDS_TableText_Heading2"/>
    <w:link w:val="SDSTableTextHeading2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6"/>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11</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