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Svara à 3.3%</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ISO E SUPER(54464-57-2), SALICYLATE BENZYLE(118-58-1).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0,9966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0,5346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0,4686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Svara à 3.3%</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Svara à 3.3%</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ISO E SUPER(54464-57-2), SALICYLATE BENZYLE(118-58-1).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25/03/2026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25/03/2026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Svara à 3.3%</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Svara à 3.3%</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25/03/2026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